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818" w:rsidRPr="004F2A5E" w:rsidRDefault="004F2A5E">
      <w:pPr>
        <w:widowControl w:val="0"/>
        <w:autoSpaceDE w:val="0"/>
        <w:autoSpaceDN w:val="0"/>
        <w:adjustRightInd w:val="0"/>
        <w:spacing w:after="0" w:line="360" w:lineRule="auto"/>
        <w:rPr>
          <w:rFonts w:ascii="Times New Roman" w:hAnsi="Times New Roman"/>
          <w:smallCaps/>
          <w:sz w:val="28"/>
          <w:szCs w:val="28"/>
          <w:lang w:val="de"/>
        </w:rPr>
      </w:pPr>
      <w:r w:rsidRPr="004F2A5E">
        <w:rPr>
          <w:rFonts w:ascii="Times New Roman" w:hAnsi="Times New Roman"/>
          <w:smallCaps/>
          <w:sz w:val="28"/>
          <w:szCs w:val="28"/>
          <w:lang w:val="de"/>
        </w:rPr>
        <w:t xml:space="preserve">HANDBUCH KUNSTPHILOSOPHIE. </w:t>
      </w:r>
      <w:r w:rsidR="00C97818" w:rsidRPr="004F2A5E">
        <w:rPr>
          <w:rFonts w:ascii="Times New Roman" w:hAnsi="Times New Roman"/>
          <w:smallCaps/>
          <w:sz w:val="28"/>
          <w:szCs w:val="28"/>
          <w:lang w:val="de"/>
        </w:rPr>
        <w:t>Zum gegenwärtigen Stand kunstphilosophischer Diskussionen.</w:t>
      </w:r>
    </w:p>
    <w:p w:rsidR="00C97818" w:rsidRDefault="00C97818">
      <w:pPr>
        <w:widowControl w:val="0"/>
        <w:autoSpaceDE w:val="0"/>
        <w:autoSpaceDN w:val="0"/>
        <w:adjustRightInd w:val="0"/>
        <w:spacing w:after="0" w:line="360" w:lineRule="auto"/>
        <w:rPr>
          <w:rFonts w:ascii="Times New Roman" w:hAnsi="Times New Roman"/>
          <w:sz w:val="24"/>
          <w:szCs w:val="24"/>
          <w:lang w:val="de"/>
        </w:rPr>
      </w:pPr>
    </w:p>
    <w:p w:rsidR="00C97818" w:rsidRDefault="00C97818">
      <w:pPr>
        <w:widowControl w:val="0"/>
        <w:autoSpaceDE w:val="0"/>
        <w:autoSpaceDN w:val="0"/>
        <w:adjustRightInd w:val="0"/>
        <w:spacing w:after="0" w:line="360" w:lineRule="auto"/>
        <w:rPr>
          <w:rFonts w:ascii="Times New Roman" w:hAnsi="Times New Roman"/>
          <w:sz w:val="24"/>
          <w:szCs w:val="24"/>
          <w:lang w:val="de"/>
        </w:rPr>
      </w:pPr>
      <w:r>
        <w:rPr>
          <w:rFonts w:ascii="Times New Roman" w:hAnsi="Times New Roman"/>
          <w:sz w:val="24"/>
          <w:szCs w:val="24"/>
          <w:lang w:val="de"/>
        </w:rPr>
        <w:t>Johann Kreuzer, Oldenburg</w:t>
      </w:r>
    </w:p>
    <w:p w:rsidR="00C97818" w:rsidRDefault="00C97818">
      <w:pPr>
        <w:widowControl w:val="0"/>
        <w:autoSpaceDE w:val="0"/>
        <w:autoSpaceDN w:val="0"/>
        <w:adjustRightInd w:val="0"/>
        <w:spacing w:after="0" w:line="360" w:lineRule="auto"/>
        <w:rPr>
          <w:rFonts w:ascii="Times New Roman" w:hAnsi="Times New Roman"/>
          <w:sz w:val="24"/>
          <w:szCs w:val="24"/>
          <w:lang w:val="de"/>
        </w:rPr>
      </w:pPr>
    </w:p>
    <w:p w:rsidR="00C97818" w:rsidRDefault="00C97818">
      <w:pPr>
        <w:widowControl w:val="0"/>
        <w:autoSpaceDE w:val="0"/>
        <w:autoSpaceDN w:val="0"/>
        <w:adjustRightInd w:val="0"/>
        <w:spacing w:after="0" w:line="360" w:lineRule="auto"/>
        <w:rPr>
          <w:rFonts w:ascii="Times New Roman" w:hAnsi="Times New Roman"/>
          <w:sz w:val="24"/>
          <w:szCs w:val="24"/>
          <w:lang w:val="de"/>
        </w:rPr>
      </w:pPr>
      <w:r>
        <w:rPr>
          <w:rFonts w:ascii="Times New Roman" w:hAnsi="Times New Roman"/>
          <w:b/>
          <w:bCs/>
          <w:sz w:val="24"/>
          <w:szCs w:val="24"/>
          <w:lang w:val="de"/>
        </w:rPr>
        <w:t>Judith Siegmund (</w:t>
      </w:r>
      <w:proofErr w:type="spellStart"/>
      <w:r>
        <w:rPr>
          <w:rFonts w:ascii="Times New Roman" w:hAnsi="Times New Roman"/>
          <w:b/>
          <w:bCs/>
          <w:sz w:val="24"/>
          <w:szCs w:val="24"/>
          <w:lang w:val="de"/>
        </w:rPr>
        <w:t>Hg</w:t>
      </w:r>
      <w:proofErr w:type="spellEnd"/>
      <w:r>
        <w:rPr>
          <w:rFonts w:ascii="Times New Roman" w:hAnsi="Times New Roman"/>
          <w:b/>
          <w:bCs/>
          <w:sz w:val="24"/>
          <w:szCs w:val="24"/>
          <w:lang w:val="de"/>
        </w:rPr>
        <w:t xml:space="preserve">.), Handbuch Kunstphilosophie, Bielefeld: </w:t>
      </w:r>
      <w:proofErr w:type="spellStart"/>
      <w:r>
        <w:rPr>
          <w:rFonts w:ascii="Times New Roman" w:hAnsi="Times New Roman"/>
          <w:b/>
          <w:bCs/>
          <w:sz w:val="24"/>
          <w:szCs w:val="24"/>
          <w:lang w:val="de"/>
        </w:rPr>
        <w:t>transcript</w:t>
      </w:r>
      <w:proofErr w:type="spellEnd"/>
      <w:r>
        <w:rPr>
          <w:rFonts w:ascii="Times New Roman" w:hAnsi="Times New Roman"/>
          <w:b/>
          <w:bCs/>
          <w:sz w:val="24"/>
          <w:szCs w:val="24"/>
          <w:lang w:val="de"/>
        </w:rPr>
        <w:t xml:space="preserve"> Verlag, 2022, 709 S., ISBN 978-38252-5841-2, € 39,00.</w:t>
      </w:r>
    </w:p>
    <w:p w:rsidR="00C97818" w:rsidRDefault="00C97818">
      <w:pPr>
        <w:widowControl w:val="0"/>
        <w:autoSpaceDE w:val="0"/>
        <w:autoSpaceDN w:val="0"/>
        <w:adjustRightInd w:val="0"/>
        <w:spacing w:after="0" w:line="360" w:lineRule="auto"/>
        <w:rPr>
          <w:rFonts w:ascii="Times New Roman" w:hAnsi="Times New Roman"/>
          <w:sz w:val="24"/>
          <w:szCs w:val="24"/>
          <w:lang w:val="de"/>
        </w:rPr>
      </w:pPr>
    </w:p>
    <w:p w:rsidR="004F2A5E" w:rsidRDefault="00C97818">
      <w:pPr>
        <w:widowControl w:val="0"/>
        <w:autoSpaceDE w:val="0"/>
        <w:autoSpaceDN w:val="0"/>
        <w:adjustRightInd w:val="0"/>
        <w:spacing w:after="0" w:line="360" w:lineRule="auto"/>
        <w:rPr>
          <w:rFonts w:ascii="Times New Roman" w:hAnsi="Times New Roman"/>
          <w:sz w:val="24"/>
          <w:szCs w:val="24"/>
          <w:lang w:val="de"/>
        </w:rPr>
      </w:pPr>
      <w:r>
        <w:rPr>
          <w:rFonts w:ascii="Times New Roman" w:hAnsi="Times New Roman"/>
          <w:sz w:val="24"/>
          <w:szCs w:val="24"/>
          <w:lang w:val="de"/>
        </w:rPr>
        <w:t xml:space="preserve">„Das Schöne ist schwer“ – heißt es bei Platon (Hippias </w:t>
      </w:r>
      <w:proofErr w:type="spellStart"/>
      <w:r>
        <w:rPr>
          <w:rFonts w:ascii="Times New Roman" w:hAnsi="Times New Roman"/>
          <w:sz w:val="24"/>
          <w:szCs w:val="24"/>
          <w:lang w:val="de"/>
        </w:rPr>
        <w:t>maior</w:t>
      </w:r>
      <w:proofErr w:type="spellEnd"/>
      <w:r>
        <w:rPr>
          <w:rFonts w:ascii="Times New Roman" w:hAnsi="Times New Roman"/>
          <w:sz w:val="24"/>
          <w:szCs w:val="24"/>
          <w:lang w:val="de"/>
        </w:rPr>
        <w:t xml:space="preserve">, 304e). </w:t>
      </w:r>
      <w:r w:rsidR="00E57B67">
        <w:rPr>
          <w:rFonts w:ascii="Times New Roman" w:hAnsi="Times New Roman"/>
          <w:sz w:val="24"/>
          <w:szCs w:val="24"/>
          <w:lang w:val="de"/>
        </w:rPr>
        <w:t xml:space="preserve">Seine </w:t>
      </w:r>
      <w:r>
        <w:rPr>
          <w:rFonts w:ascii="Times New Roman" w:hAnsi="Times New Roman"/>
          <w:sz w:val="24"/>
          <w:szCs w:val="24"/>
          <w:lang w:val="de"/>
        </w:rPr>
        <w:t xml:space="preserve">Erfahrung </w:t>
      </w:r>
      <w:r w:rsidR="00E57B67">
        <w:rPr>
          <w:rFonts w:ascii="Times New Roman" w:hAnsi="Times New Roman"/>
          <w:sz w:val="24"/>
          <w:szCs w:val="24"/>
          <w:lang w:val="de"/>
        </w:rPr>
        <w:t>nötigt</w:t>
      </w:r>
      <w:r w:rsidR="009E39EA">
        <w:rPr>
          <w:rFonts w:ascii="Times New Roman" w:hAnsi="Times New Roman"/>
          <w:sz w:val="24"/>
          <w:szCs w:val="24"/>
          <w:lang w:val="de"/>
        </w:rPr>
        <w:t>,</w:t>
      </w:r>
      <w:r>
        <w:rPr>
          <w:rFonts w:ascii="Times New Roman" w:hAnsi="Times New Roman"/>
          <w:sz w:val="24"/>
          <w:szCs w:val="24"/>
          <w:lang w:val="de"/>
        </w:rPr>
        <w:t xml:space="preserve"> so Aristoteles in seiner „Poetik“</w:t>
      </w:r>
      <w:r w:rsidR="009E39EA">
        <w:rPr>
          <w:rFonts w:ascii="Times New Roman" w:hAnsi="Times New Roman"/>
          <w:sz w:val="24"/>
          <w:szCs w:val="24"/>
          <w:lang w:val="de"/>
        </w:rPr>
        <w:t>,</w:t>
      </w:r>
      <w:r>
        <w:rPr>
          <w:rFonts w:ascii="Times New Roman" w:hAnsi="Times New Roman"/>
          <w:sz w:val="24"/>
          <w:szCs w:val="24"/>
          <w:lang w:val="de"/>
        </w:rPr>
        <w:t xml:space="preserve"> zu einem Tätigwerden, zu einem Hervorbringen</w:t>
      </w:r>
      <w:r w:rsidR="004F2A5E">
        <w:rPr>
          <w:rFonts w:ascii="Times New Roman" w:hAnsi="Times New Roman"/>
          <w:sz w:val="24"/>
          <w:szCs w:val="24"/>
          <w:lang w:val="de"/>
        </w:rPr>
        <w:t>:</w:t>
      </w:r>
      <w:r>
        <w:rPr>
          <w:rFonts w:ascii="Times New Roman" w:hAnsi="Times New Roman"/>
          <w:sz w:val="24"/>
          <w:szCs w:val="24"/>
          <w:lang w:val="de"/>
        </w:rPr>
        <w:t xml:space="preserve"> zur </w:t>
      </w:r>
      <w:proofErr w:type="spellStart"/>
      <w:r w:rsidRPr="004F2A5E">
        <w:rPr>
          <w:rFonts w:ascii="Times New Roman" w:hAnsi="Times New Roman"/>
          <w:i/>
          <w:sz w:val="24"/>
          <w:szCs w:val="24"/>
          <w:lang w:val="de"/>
        </w:rPr>
        <w:t>poíēsis</w:t>
      </w:r>
      <w:proofErr w:type="spellEnd"/>
      <w:r>
        <w:rPr>
          <w:rFonts w:ascii="Times New Roman" w:hAnsi="Times New Roman"/>
          <w:sz w:val="24"/>
          <w:szCs w:val="24"/>
          <w:lang w:val="de"/>
        </w:rPr>
        <w:t xml:space="preserve">. </w:t>
      </w:r>
      <w:r w:rsidR="00E57B67">
        <w:rPr>
          <w:rFonts w:ascii="Times New Roman" w:hAnsi="Times New Roman"/>
          <w:sz w:val="24"/>
          <w:szCs w:val="24"/>
          <w:lang w:val="de"/>
        </w:rPr>
        <w:t>Dieses</w:t>
      </w:r>
      <w:r>
        <w:rPr>
          <w:rFonts w:ascii="Times New Roman" w:hAnsi="Times New Roman"/>
          <w:sz w:val="24"/>
          <w:szCs w:val="24"/>
          <w:lang w:val="de"/>
        </w:rPr>
        <w:t xml:space="preserve"> hervorbringende Tätigsein </w:t>
      </w:r>
      <w:r w:rsidR="00E57B67">
        <w:rPr>
          <w:rFonts w:ascii="Times New Roman" w:hAnsi="Times New Roman"/>
          <w:sz w:val="24"/>
          <w:szCs w:val="24"/>
          <w:lang w:val="de"/>
        </w:rPr>
        <w:t>ist</w:t>
      </w:r>
      <w:r>
        <w:rPr>
          <w:rFonts w:ascii="Times New Roman" w:hAnsi="Times New Roman"/>
          <w:sz w:val="24"/>
          <w:szCs w:val="24"/>
          <w:lang w:val="de"/>
        </w:rPr>
        <w:t xml:space="preserve"> (so die berühmte und im</w:t>
      </w:r>
      <w:r w:rsidR="00C66B56">
        <w:rPr>
          <w:rFonts w:ascii="Times New Roman" w:hAnsi="Times New Roman"/>
          <w:sz w:val="24"/>
          <w:szCs w:val="24"/>
          <w:lang w:val="de"/>
        </w:rPr>
        <w:t xml:space="preserve"> vorliegenden </w:t>
      </w:r>
      <w:r>
        <w:rPr>
          <w:rFonts w:ascii="Times New Roman" w:hAnsi="Times New Roman"/>
          <w:sz w:val="24"/>
          <w:szCs w:val="24"/>
          <w:lang w:val="de"/>
        </w:rPr>
        <w:t>Handbuch wiederholt als Referenz benutzte Formulierung</w:t>
      </w:r>
      <w:r w:rsidR="004F2A5E">
        <w:rPr>
          <w:rFonts w:ascii="Times New Roman" w:hAnsi="Times New Roman"/>
          <w:sz w:val="24"/>
          <w:szCs w:val="24"/>
          <w:lang w:val="de"/>
        </w:rPr>
        <w:t xml:space="preserve"> aus der „Poetik“</w:t>
      </w:r>
      <w:r>
        <w:rPr>
          <w:rFonts w:ascii="Times New Roman" w:hAnsi="Times New Roman"/>
          <w:sz w:val="24"/>
          <w:szCs w:val="24"/>
          <w:lang w:val="de"/>
        </w:rPr>
        <w:t>) ‚etwas Philosophischeres als die Geschichtsschreibung‘</w:t>
      </w:r>
      <w:r w:rsidR="00E57B67">
        <w:rPr>
          <w:rFonts w:ascii="Times New Roman" w:hAnsi="Times New Roman"/>
          <w:sz w:val="24"/>
          <w:szCs w:val="24"/>
          <w:lang w:val="de"/>
        </w:rPr>
        <w:t>.</w:t>
      </w:r>
      <w:r w:rsidR="009E39EA">
        <w:rPr>
          <w:rStyle w:val="Funotenzeichen"/>
          <w:rFonts w:ascii="Times New Roman" w:hAnsi="Times New Roman"/>
          <w:sz w:val="24"/>
          <w:szCs w:val="24"/>
          <w:lang w:val="de"/>
        </w:rPr>
        <w:footnoteReference w:id="1"/>
      </w:r>
      <w:r w:rsidR="00E57B67">
        <w:rPr>
          <w:rFonts w:ascii="Times New Roman" w:hAnsi="Times New Roman"/>
          <w:sz w:val="24"/>
          <w:szCs w:val="24"/>
          <w:lang w:val="de"/>
        </w:rPr>
        <w:t xml:space="preserve"> Mit</w:t>
      </w:r>
      <w:r>
        <w:rPr>
          <w:rFonts w:ascii="Times New Roman" w:hAnsi="Times New Roman"/>
          <w:sz w:val="24"/>
          <w:szCs w:val="24"/>
          <w:lang w:val="de"/>
        </w:rPr>
        <w:t xml:space="preserve"> der Evaluierung poetischen Hervorbringens </w:t>
      </w:r>
      <w:r w:rsidR="00E57B67">
        <w:rPr>
          <w:rFonts w:ascii="Times New Roman" w:hAnsi="Times New Roman"/>
          <w:sz w:val="24"/>
          <w:szCs w:val="24"/>
          <w:lang w:val="de"/>
        </w:rPr>
        <w:t>sind</w:t>
      </w:r>
      <w:r>
        <w:rPr>
          <w:rFonts w:ascii="Times New Roman" w:hAnsi="Times New Roman"/>
          <w:sz w:val="24"/>
          <w:szCs w:val="24"/>
          <w:lang w:val="de"/>
        </w:rPr>
        <w:t xml:space="preserve"> grundlegende Koordinaten künstlerischen Tuns formuliert. Ab der Renaissance begreift </w:t>
      </w:r>
      <w:r w:rsidR="00E57B67">
        <w:rPr>
          <w:rFonts w:ascii="Times New Roman" w:hAnsi="Times New Roman"/>
          <w:sz w:val="24"/>
          <w:szCs w:val="24"/>
          <w:lang w:val="de"/>
        </w:rPr>
        <w:t xml:space="preserve">es </w:t>
      </w:r>
      <w:r>
        <w:rPr>
          <w:rFonts w:ascii="Times New Roman" w:hAnsi="Times New Roman"/>
          <w:sz w:val="24"/>
          <w:szCs w:val="24"/>
          <w:lang w:val="de"/>
        </w:rPr>
        <w:t>sich explizit und selbstbewußt als ‚Kunst‘. Inmitten und als Antwort auf die Katastrophen des 20. Jahrhunderts wird Adorno festhalten, da</w:t>
      </w:r>
      <w:r w:rsidR="00CA369D">
        <w:rPr>
          <w:rFonts w:ascii="Times New Roman" w:hAnsi="Times New Roman"/>
          <w:sz w:val="24"/>
          <w:szCs w:val="24"/>
          <w:lang w:val="de"/>
        </w:rPr>
        <w:t>ss „[z]</w:t>
      </w:r>
      <w:proofErr w:type="spellStart"/>
      <w:r>
        <w:rPr>
          <w:rFonts w:ascii="Times New Roman" w:hAnsi="Times New Roman"/>
          <w:sz w:val="24"/>
          <w:szCs w:val="24"/>
          <w:lang w:val="de"/>
        </w:rPr>
        <w:t>ur</w:t>
      </w:r>
      <w:proofErr w:type="spellEnd"/>
      <w:r>
        <w:rPr>
          <w:rFonts w:ascii="Times New Roman" w:hAnsi="Times New Roman"/>
          <w:sz w:val="24"/>
          <w:szCs w:val="24"/>
          <w:lang w:val="de"/>
        </w:rPr>
        <w:t xml:space="preserve"> Selbstverständlichkeit wurde, </w:t>
      </w:r>
      <w:proofErr w:type="spellStart"/>
      <w:r>
        <w:rPr>
          <w:rFonts w:ascii="Times New Roman" w:hAnsi="Times New Roman"/>
          <w:sz w:val="24"/>
          <w:szCs w:val="24"/>
          <w:lang w:val="de"/>
        </w:rPr>
        <w:t>daß</w:t>
      </w:r>
      <w:proofErr w:type="spellEnd"/>
      <w:r>
        <w:rPr>
          <w:rFonts w:ascii="Times New Roman" w:hAnsi="Times New Roman"/>
          <w:sz w:val="24"/>
          <w:szCs w:val="24"/>
          <w:lang w:val="de"/>
        </w:rPr>
        <w:t xml:space="preserve"> nichts, was die Kunst betrifft, mehr selbstverständlich ist, weder in ihr noch in ihrem Verhältnis zum Ganzen, nicht einmal ihr Existenzrecht.“</w:t>
      </w:r>
      <w:r w:rsidR="004F2A5E">
        <w:rPr>
          <w:rStyle w:val="Funotenzeichen"/>
          <w:rFonts w:ascii="Times New Roman" w:hAnsi="Times New Roman"/>
          <w:sz w:val="24"/>
          <w:szCs w:val="24"/>
          <w:lang w:val="de"/>
        </w:rPr>
        <w:footnoteReference w:id="2"/>
      </w:r>
      <w:r>
        <w:rPr>
          <w:rFonts w:ascii="Times New Roman" w:hAnsi="Times New Roman"/>
          <w:sz w:val="24"/>
          <w:szCs w:val="24"/>
          <w:lang w:val="de"/>
        </w:rPr>
        <w:t xml:space="preserve"> Daran, daß dies den Sachstand formulieren dürfte, dem sich Kunst wie Kunstphilosophie gegenübersehen, hat sich in dem halben Jahrhundert, das seit Adornos Feststellung vorübergegangen ist, wenig geändert: Was drückt sich darin als Erfahrungswirklichkeit aus, wie wird damit umgegangen – welche Perspektiven gibt es?</w:t>
      </w:r>
    </w:p>
    <w:p w:rsidR="0071333D" w:rsidRDefault="00C97818" w:rsidP="003D0FCE">
      <w:pPr>
        <w:widowControl w:val="0"/>
        <w:autoSpaceDE w:val="0"/>
        <w:autoSpaceDN w:val="0"/>
        <w:adjustRightInd w:val="0"/>
        <w:spacing w:after="0" w:line="360" w:lineRule="auto"/>
        <w:ind w:firstLine="454"/>
        <w:rPr>
          <w:rFonts w:ascii="Times New Roman" w:hAnsi="Times New Roman"/>
          <w:sz w:val="24"/>
          <w:szCs w:val="24"/>
          <w:lang w:val="de"/>
        </w:rPr>
      </w:pPr>
      <w:r>
        <w:rPr>
          <w:rFonts w:ascii="Times New Roman" w:hAnsi="Times New Roman"/>
          <w:sz w:val="24"/>
          <w:szCs w:val="24"/>
          <w:lang w:val="de"/>
        </w:rPr>
        <w:t xml:space="preserve">Auf diese Fragen </w:t>
      </w:r>
      <w:r w:rsidR="00137831">
        <w:rPr>
          <w:rFonts w:ascii="Times New Roman" w:hAnsi="Times New Roman"/>
          <w:sz w:val="24"/>
          <w:szCs w:val="24"/>
          <w:lang w:val="de"/>
        </w:rPr>
        <w:t>antwortet</w:t>
      </w:r>
      <w:r>
        <w:rPr>
          <w:rFonts w:ascii="Times New Roman" w:hAnsi="Times New Roman"/>
          <w:sz w:val="24"/>
          <w:szCs w:val="24"/>
          <w:lang w:val="de"/>
        </w:rPr>
        <w:t xml:space="preserve"> das Handbuch Kunstphilosophie, das Judith Siegmund herausgegeben hat, in ebenso detaillierter wie umfassender Weise.</w:t>
      </w:r>
      <w:r w:rsidR="004F2A5E">
        <w:rPr>
          <w:rFonts w:ascii="Times New Roman" w:hAnsi="Times New Roman"/>
          <w:sz w:val="24"/>
          <w:szCs w:val="24"/>
          <w:lang w:val="de"/>
        </w:rPr>
        <w:t xml:space="preserve"> Es versteht sich als „Bestandsaufnahme“ (vgl. S. 11).</w:t>
      </w:r>
      <w:r>
        <w:rPr>
          <w:rFonts w:ascii="Times New Roman" w:hAnsi="Times New Roman"/>
          <w:sz w:val="24"/>
          <w:szCs w:val="24"/>
          <w:lang w:val="de"/>
        </w:rPr>
        <w:t xml:space="preserve"> </w:t>
      </w:r>
      <w:r w:rsidR="00137831">
        <w:rPr>
          <w:rFonts w:ascii="Times New Roman" w:hAnsi="Times New Roman"/>
          <w:sz w:val="24"/>
          <w:szCs w:val="24"/>
          <w:lang w:val="de"/>
        </w:rPr>
        <w:t>Nicht nur ihres magistralen Umfangs wegen überzeugt diese</w:t>
      </w:r>
      <w:r>
        <w:rPr>
          <w:rFonts w:ascii="Times New Roman" w:hAnsi="Times New Roman"/>
          <w:sz w:val="24"/>
          <w:szCs w:val="24"/>
          <w:lang w:val="de"/>
        </w:rPr>
        <w:t xml:space="preserve"> ‚Bestandsaufnahme‘. Das verdankt sich nicht zuletzt der Entscheidung der Herausgeberin, auf eine „</w:t>
      </w:r>
      <w:proofErr w:type="spellStart"/>
      <w:r>
        <w:rPr>
          <w:rFonts w:ascii="Times New Roman" w:hAnsi="Times New Roman"/>
          <w:sz w:val="24"/>
          <w:szCs w:val="24"/>
          <w:lang w:val="de"/>
        </w:rPr>
        <w:t>schulenbildende</w:t>
      </w:r>
      <w:proofErr w:type="spellEnd"/>
      <w:r>
        <w:rPr>
          <w:rFonts w:ascii="Times New Roman" w:hAnsi="Times New Roman"/>
          <w:sz w:val="24"/>
          <w:szCs w:val="24"/>
          <w:lang w:val="de"/>
        </w:rPr>
        <w:t xml:space="preserve"> Auswahl“ zu verzichten und zuzulassen, „dass sich die Beiträge gegenseitig befruchten und zugleich an manchen Stellen einander widersprechen“ (vgl. 16). D</w:t>
      </w:r>
      <w:r w:rsidR="00C66B56">
        <w:rPr>
          <w:rFonts w:ascii="Times New Roman" w:hAnsi="Times New Roman"/>
          <w:sz w:val="24"/>
          <w:szCs w:val="24"/>
          <w:lang w:val="de"/>
        </w:rPr>
        <w:t>as</w:t>
      </w:r>
      <w:r>
        <w:rPr>
          <w:rFonts w:ascii="Times New Roman" w:hAnsi="Times New Roman"/>
          <w:sz w:val="24"/>
          <w:szCs w:val="24"/>
          <w:lang w:val="de"/>
        </w:rPr>
        <w:t xml:space="preserve"> Zulassen </w:t>
      </w:r>
      <w:r w:rsidR="00C66B56">
        <w:rPr>
          <w:rFonts w:ascii="Times New Roman" w:hAnsi="Times New Roman"/>
          <w:sz w:val="24"/>
          <w:szCs w:val="24"/>
          <w:lang w:val="de"/>
        </w:rPr>
        <w:t xml:space="preserve">von </w:t>
      </w:r>
      <w:r w:rsidR="004F2A5E">
        <w:rPr>
          <w:rFonts w:ascii="Times New Roman" w:hAnsi="Times New Roman"/>
          <w:sz w:val="24"/>
          <w:szCs w:val="24"/>
          <w:lang w:val="de"/>
        </w:rPr>
        <w:t>Differen</w:t>
      </w:r>
      <w:r w:rsidR="00C66B56">
        <w:rPr>
          <w:rFonts w:ascii="Times New Roman" w:hAnsi="Times New Roman"/>
          <w:sz w:val="24"/>
          <w:szCs w:val="24"/>
          <w:lang w:val="de"/>
        </w:rPr>
        <w:t>tem</w:t>
      </w:r>
      <w:r w:rsidR="004F2A5E">
        <w:rPr>
          <w:rFonts w:ascii="Times New Roman" w:hAnsi="Times New Roman"/>
          <w:sz w:val="24"/>
          <w:szCs w:val="24"/>
          <w:lang w:val="de"/>
        </w:rPr>
        <w:t xml:space="preserve"> </w:t>
      </w:r>
      <w:r>
        <w:rPr>
          <w:rFonts w:ascii="Times New Roman" w:hAnsi="Times New Roman"/>
          <w:sz w:val="24"/>
          <w:szCs w:val="24"/>
          <w:lang w:val="de"/>
        </w:rPr>
        <w:t xml:space="preserve">steigert den Reiz des Handbuchs. Es regt zum </w:t>
      </w:r>
      <w:r w:rsidR="0077318C">
        <w:rPr>
          <w:rFonts w:ascii="Times New Roman" w:hAnsi="Times New Roman"/>
          <w:sz w:val="24"/>
          <w:szCs w:val="24"/>
          <w:lang w:val="de"/>
        </w:rPr>
        <w:t>Selbstdenken an.</w:t>
      </w:r>
      <w:r w:rsidR="004F2A5E">
        <w:rPr>
          <w:rFonts w:ascii="Times New Roman" w:hAnsi="Times New Roman"/>
          <w:sz w:val="24"/>
          <w:szCs w:val="24"/>
          <w:lang w:val="de"/>
        </w:rPr>
        <w:t xml:space="preserve"> – </w:t>
      </w:r>
      <w:r>
        <w:rPr>
          <w:rFonts w:ascii="Times New Roman" w:hAnsi="Times New Roman"/>
          <w:sz w:val="24"/>
          <w:szCs w:val="24"/>
          <w:lang w:val="de"/>
        </w:rPr>
        <w:t>Da</w:t>
      </w:r>
      <w:r w:rsidR="00CA369D">
        <w:rPr>
          <w:rFonts w:ascii="Times New Roman" w:hAnsi="Times New Roman"/>
          <w:sz w:val="24"/>
          <w:szCs w:val="24"/>
          <w:lang w:val="de"/>
        </w:rPr>
        <w:t>ss</w:t>
      </w:r>
      <w:r>
        <w:rPr>
          <w:rFonts w:ascii="Times New Roman" w:hAnsi="Times New Roman"/>
          <w:sz w:val="24"/>
          <w:szCs w:val="24"/>
          <w:lang w:val="de"/>
        </w:rPr>
        <w:t xml:space="preserve"> die Bestandsaufnahme kunstphilosophischer Positionen und Diskussionen auf anregende Weise gelingt, </w:t>
      </w:r>
      <w:r w:rsidR="00C66B56">
        <w:rPr>
          <w:rFonts w:ascii="Times New Roman" w:hAnsi="Times New Roman"/>
          <w:sz w:val="24"/>
          <w:szCs w:val="24"/>
          <w:lang w:val="de"/>
        </w:rPr>
        <w:t xml:space="preserve">rührt </w:t>
      </w:r>
      <w:r w:rsidR="004F2A5E">
        <w:rPr>
          <w:rFonts w:ascii="Times New Roman" w:hAnsi="Times New Roman"/>
          <w:sz w:val="24"/>
          <w:szCs w:val="24"/>
          <w:lang w:val="de"/>
        </w:rPr>
        <w:t xml:space="preserve">selbstredend in erster Linie </w:t>
      </w:r>
      <w:r w:rsidR="00C66B56">
        <w:rPr>
          <w:rFonts w:ascii="Times New Roman" w:hAnsi="Times New Roman"/>
          <w:sz w:val="24"/>
          <w:szCs w:val="24"/>
          <w:lang w:val="de"/>
        </w:rPr>
        <w:t xml:space="preserve">von </w:t>
      </w:r>
      <w:r w:rsidR="004F2A5E">
        <w:rPr>
          <w:rFonts w:ascii="Times New Roman" w:hAnsi="Times New Roman"/>
          <w:sz w:val="24"/>
          <w:szCs w:val="24"/>
          <w:lang w:val="de"/>
        </w:rPr>
        <w:t>den</w:t>
      </w:r>
      <w:r>
        <w:rPr>
          <w:rFonts w:ascii="Times New Roman" w:hAnsi="Times New Roman"/>
          <w:sz w:val="24"/>
          <w:szCs w:val="24"/>
          <w:lang w:val="de"/>
        </w:rPr>
        <w:t xml:space="preserve"> 47 Beiträge</w:t>
      </w:r>
      <w:r w:rsidR="004F2A5E">
        <w:rPr>
          <w:rFonts w:ascii="Times New Roman" w:hAnsi="Times New Roman"/>
          <w:sz w:val="24"/>
          <w:szCs w:val="24"/>
          <w:lang w:val="de"/>
        </w:rPr>
        <w:t>n</w:t>
      </w:r>
      <w:r w:rsidR="00C66B56">
        <w:rPr>
          <w:rFonts w:ascii="Times New Roman" w:hAnsi="Times New Roman"/>
          <w:sz w:val="24"/>
          <w:szCs w:val="24"/>
          <w:lang w:val="de"/>
        </w:rPr>
        <w:t xml:space="preserve"> her</w:t>
      </w:r>
      <w:r>
        <w:rPr>
          <w:rFonts w:ascii="Times New Roman" w:hAnsi="Times New Roman"/>
          <w:sz w:val="24"/>
          <w:szCs w:val="24"/>
          <w:lang w:val="de"/>
        </w:rPr>
        <w:t xml:space="preserve">, die </w:t>
      </w:r>
      <w:r w:rsidR="004F2A5E">
        <w:rPr>
          <w:rFonts w:ascii="Times New Roman" w:hAnsi="Times New Roman"/>
          <w:sz w:val="24"/>
          <w:szCs w:val="24"/>
          <w:lang w:val="de"/>
        </w:rPr>
        <w:t>Judith Siegmund für dieses Handbuch gewinnen konnte</w:t>
      </w:r>
      <w:r>
        <w:rPr>
          <w:rFonts w:ascii="Times New Roman" w:hAnsi="Times New Roman"/>
          <w:sz w:val="24"/>
          <w:szCs w:val="24"/>
          <w:lang w:val="de"/>
        </w:rPr>
        <w:t xml:space="preserve">. Klug gewählt ist </w:t>
      </w:r>
      <w:r>
        <w:rPr>
          <w:rFonts w:ascii="Times New Roman" w:hAnsi="Times New Roman"/>
          <w:sz w:val="24"/>
          <w:szCs w:val="24"/>
          <w:lang w:val="de"/>
        </w:rPr>
        <w:lastRenderedPageBreak/>
        <w:t xml:space="preserve">die thematische Strukturierung, die sich an der in den verschiedenen Künsten sich zeigenden Tendenz orientiert, daß einerseits „mehr denn je </w:t>
      </w:r>
      <w:r w:rsidR="00CA369D">
        <w:rPr>
          <w:rFonts w:ascii="Times New Roman" w:hAnsi="Times New Roman"/>
          <w:sz w:val="24"/>
          <w:szCs w:val="24"/>
          <w:lang w:val="de"/>
        </w:rPr>
        <w:t>[…]</w:t>
      </w:r>
      <w:r>
        <w:rPr>
          <w:rFonts w:ascii="Times New Roman" w:hAnsi="Times New Roman"/>
          <w:sz w:val="24"/>
          <w:szCs w:val="24"/>
          <w:lang w:val="de"/>
        </w:rPr>
        <w:t xml:space="preserve"> Unterschiede zwischen ihnen thematisch“ werden, so daß andererseits Kunstphilosophie für „die integrativen Perspektiven der </w:t>
      </w:r>
      <w:proofErr w:type="spellStart"/>
      <w:r>
        <w:rPr>
          <w:rFonts w:ascii="Times New Roman" w:hAnsi="Times New Roman"/>
          <w:b/>
          <w:bCs/>
          <w:sz w:val="24"/>
          <w:szCs w:val="24"/>
          <w:lang w:val="de"/>
        </w:rPr>
        <w:t>Gemachtheit</w:t>
      </w:r>
      <w:proofErr w:type="spellEnd"/>
      <w:r>
        <w:rPr>
          <w:rFonts w:ascii="Times New Roman" w:hAnsi="Times New Roman"/>
          <w:b/>
          <w:bCs/>
          <w:sz w:val="24"/>
          <w:szCs w:val="24"/>
          <w:lang w:val="de"/>
        </w:rPr>
        <w:t>/Produktion</w:t>
      </w:r>
      <w:r>
        <w:rPr>
          <w:rFonts w:ascii="Times New Roman" w:hAnsi="Times New Roman"/>
          <w:sz w:val="24"/>
          <w:szCs w:val="24"/>
          <w:lang w:val="de"/>
        </w:rPr>
        <w:t xml:space="preserve">, ihrer </w:t>
      </w:r>
      <w:r>
        <w:rPr>
          <w:rFonts w:ascii="Times New Roman" w:hAnsi="Times New Roman"/>
          <w:b/>
          <w:bCs/>
          <w:sz w:val="24"/>
          <w:szCs w:val="24"/>
          <w:lang w:val="de"/>
        </w:rPr>
        <w:t>Ergebnisse (Kunstwerke)</w:t>
      </w:r>
      <w:r>
        <w:rPr>
          <w:rFonts w:ascii="Times New Roman" w:hAnsi="Times New Roman"/>
          <w:sz w:val="24"/>
          <w:szCs w:val="24"/>
          <w:lang w:val="de"/>
        </w:rPr>
        <w:t xml:space="preserve"> sowie der </w:t>
      </w:r>
      <w:r>
        <w:rPr>
          <w:rFonts w:ascii="Times New Roman" w:hAnsi="Times New Roman"/>
          <w:b/>
          <w:bCs/>
          <w:sz w:val="24"/>
          <w:szCs w:val="24"/>
          <w:lang w:val="de"/>
        </w:rPr>
        <w:t>Rezeption und Distribution</w:t>
      </w:r>
      <w:r w:rsidR="00CA369D">
        <w:rPr>
          <w:rFonts w:ascii="Times New Roman" w:hAnsi="Times New Roman"/>
          <w:sz w:val="24"/>
          <w:szCs w:val="24"/>
          <w:lang w:val="de"/>
        </w:rPr>
        <w:t xml:space="preserve"> […]</w:t>
      </w:r>
      <w:r>
        <w:rPr>
          <w:rFonts w:ascii="Times New Roman" w:hAnsi="Times New Roman"/>
          <w:sz w:val="24"/>
          <w:szCs w:val="24"/>
          <w:lang w:val="de"/>
        </w:rPr>
        <w:t xml:space="preserve"> sowie für Fragen nach ihren gesellschaftlichen </w:t>
      </w:r>
      <w:r>
        <w:rPr>
          <w:rFonts w:ascii="Times New Roman" w:hAnsi="Times New Roman"/>
          <w:b/>
          <w:bCs/>
          <w:sz w:val="24"/>
          <w:szCs w:val="24"/>
          <w:lang w:val="de"/>
        </w:rPr>
        <w:t>Wirkungen</w:t>
      </w:r>
      <w:r>
        <w:rPr>
          <w:rFonts w:ascii="Times New Roman" w:hAnsi="Times New Roman"/>
          <w:sz w:val="24"/>
          <w:szCs w:val="24"/>
          <w:lang w:val="de"/>
        </w:rPr>
        <w:t xml:space="preserve"> aus einer metatheoretischen Perspektive (steht)“ (vgl. 11). D</w:t>
      </w:r>
      <w:r w:rsidR="00AD147D">
        <w:rPr>
          <w:rFonts w:ascii="Times New Roman" w:hAnsi="Times New Roman"/>
          <w:sz w:val="24"/>
          <w:szCs w:val="24"/>
          <w:lang w:val="de"/>
        </w:rPr>
        <w:t>amit ist die</w:t>
      </w:r>
      <w:r>
        <w:rPr>
          <w:rFonts w:ascii="Times New Roman" w:hAnsi="Times New Roman"/>
          <w:sz w:val="24"/>
          <w:szCs w:val="24"/>
          <w:lang w:val="de"/>
        </w:rPr>
        <w:t xml:space="preserve"> vierfache Perspektive fo</w:t>
      </w:r>
      <w:r w:rsidR="00AD147D">
        <w:rPr>
          <w:rFonts w:ascii="Times New Roman" w:hAnsi="Times New Roman"/>
          <w:sz w:val="24"/>
          <w:szCs w:val="24"/>
          <w:lang w:val="de"/>
        </w:rPr>
        <w:t>rmuliert. der</w:t>
      </w:r>
      <w:r>
        <w:rPr>
          <w:rFonts w:ascii="Times New Roman" w:hAnsi="Times New Roman"/>
          <w:sz w:val="24"/>
          <w:szCs w:val="24"/>
          <w:lang w:val="de"/>
        </w:rPr>
        <w:t xml:space="preserve"> das Handbuch durch seine Strukturierung in die Teile: „I. Kunsthandeln“, „II. Kunstwerk/Aufführung“, „III. Rezeption/Interpretation“, „IV. Künste und Gesellschaft“</w:t>
      </w:r>
      <w:r w:rsidR="00AD147D">
        <w:rPr>
          <w:rFonts w:ascii="Times New Roman" w:hAnsi="Times New Roman"/>
          <w:sz w:val="24"/>
          <w:szCs w:val="24"/>
          <w:lang w:val="de"/>
        </w:rPr>
        <w:t xml:space="preserve"> folgt</w:t>
      </w:r>
      <w:r>
        <w:rPr>
          <w:rFonts w:ascii="Times New Roman" w:hAnsi="Times New Roman"/>
          <w:sz w:val="24"/>
          <w:szCs w:val="24"/>
          <w:lang w:val="de"/>
        </w:rPr>
        <w:t>. Ein Personenregister bildet den Schluß. Der der ‚Rezeption/Interpretation‘ geltende Teil ist dabei der umfangreichste der insgesamt vier. – In Teil I werden die für das Kunsthandeln substrukturellen ‚</w:t>
      </w:r>
      <w:proofErr w:type="spellStart"/>
      <w:r>
        <w:rPr>
          <w:rFonts w:ascii="Times New Roman" w:hAnsi="Times New Roman"/>
          <w:sz w:val="24"/>
          <w:szCs w:val="24"/>
          <w:lang w:val="de"/>
        </w:rPr>
        <w:t>basics</w:t>
      </w:r>
      <w:proofErr w:type="spellEnd"/>
      <w:r>
        <w:rPr>
          <w:rFonts w:ascii="Times New Roman" w:hAnsi="Times New Roman"/>
          <w:sz w:val="24"/>
          <w:szCs w:val="24"/>
          <w:lang w:val="de"/>
        </w:rPr>
        <w:t>‘, man könnte auch sagen: die Bedingungen seiner Möglichkeit diskutiert. Dies erfolgt anhand der Stichworte „Autorschaft“, „Handlungswissen“, „</w:t>
      </w:r>
      <w:proofErr w:type="spellStart"/>
      <w:r>
        <w:rPr>
          <w:rFonts w:ascii="Times New Roman" w:hAnsi="Times New Roman"/>
          <w:sz w:val="24"/>
          <w:szCs w:val="24"/>
          <w:lang w:val="de"/>
        </w:rPr>
        <w:t>Poiesis</w:t>
      </w:r>
      <w:proofErr w:type="spellEnd"/>
      <w:r>
        <w:rPr>
          <w:rFonts w:ascii="Times New Roman" w:hAnsi="Times New Roman"/>
          <w:sz w:val="24"/>
          <w:szCs w:val="24"/>
          <w:lang w:val="de"/>
        </w:rPr>
        <w:t>“, „Kunst als Praxis / Praxeologie der Kunst“, „Mimesis“, „Verkörperung“, „Material“, „Künstlerische Improvisation“, „Partizipation“, „Empathie“ und „</w:t>
      </w:r>
      <w:proofErr w:type="spellStart"/>
      <w:r>
        <w:rPr>
          <w:rFonts w:ascii="Times New Roman" w:hAnsi="Times New Roman"/>
          <w:sz w:val="24"/>
          <w:szCs w:val="24"/>
          <w:lang w:val="de"/>
        </w:rPr>
        <w:t>Artistic</w:t>
      </w:r>
      <w:proofErr w:type="spellEnd"/>
      <w:r>
        <w:rPr>
          <w:rFonts w:ascii="Times New Roman" w:hAnsi="Times New Roman"/>
          <w:sz w:val="24"/>
          <w:szCs w:val="24"/>
          <w:lang w:val="de"/>
        </w:rPr>
        <w:t xml:space="preserve"> Research / Künstlerische Forschung“. Von zentraler Bedeutung </w:t>
      </w:r>
      <w:r w:rsidR="00C66B56">
        <w:rPr>
          <w:rFonts w:ascii="Times New Roman" w:hAnsi="Times New Roman"/>
          <w:sz w:val="24"/>
          <w:szCs w:val="24"/>
          <w:lang w:val="de"/>
        </w:rPr>
        <w:t>scheinen mir</w:t>
      </w:r>
      <w:r>
        <w:rPr>
          <w:rFonts w:ascii="Times New Roman" w:hAnsi="Times New Roman"/>
          <w:sz w:val="24"/>
          <w:szCs w:val="24"/>
          <w:lang w:val="de"/>
        </w:rPr>
        <w:t xml:space="preserve"> hier die Einträge zur </w:t>
      </w:r>
      <w:proofErr w:type="spellStart"/>
      <w:r w:rsidRPr="00AD147D">
        <w:rPr>
          <w:rFonts w:ascii="Times New Roman" w:hAnsi="Times New Roman"/>
          <w:i/>
          <w:sz w:val="24"/>
          <w:szCs w:val="24"/>
          <w:lang w:val="de"/>
        </w:rPr>
        <w:t>Poiesis</w:t>
      </w:r>
      <w:proofErr w:type="spellEnd"/>
      <w:r>
        <w:rPr>
          <w:rFonts w:ascii="Times New Roman" w:hAnsi="Times New Roman"/>
          <w:sz w:val="24"/>
          <w:szCs w:val="24"/>
          <w:lang w:val="de"/>
        </w:rPr>
        <w:t xml:space="preserve"> und zur </w:t>
      </w:r>
      <w:r w:rsidRPr="00AD147D">
        <w:rPr>
          <w:rFonts w:ascii="Times New Roman" w:hAnsi="Times New Roman"/>
          <w:i/>
          <w:sz w:val="24"/>
          <w:szCs w:val="24"/>
          <w:lang w:val="de"/>
        </w:rPr>
        <w:t>Mimesis</w:t>
      </w:r>
      <w:r>
        <w:rPr>
          <w:rFonts w:ascii="Times New Roman" w:hAnsi="Times New Roman"/>
          <w:sz w:val="24"/>
          <w:szCs w:val="24"/>
          <w:lang w:val="de"/>
        </w:rPr>
        <w:t xml:space="preserve">. Zur </w:t>
      </w:r>
      <w:proofErr w:type="spellStart"/>
      <w:r>
        <w:rPr>
          <w:rFonts w:ascii="Times New Roman" w:hAnsi="Times New Roman"/>
          <w:i/>
          <w:iCs/>
          <w:sz w:val="24"/>
          <w:szCs w:val="24"/>
          <w:lang w:val="de"/>
        </w:rPr>
        <w:t>Poiesis</w:t>
      </w:r>
      <w:proofErr w:type="spellEnd"/>
      <w:r w:rsidR="00CA369D">
        <w:rPr>
          <w:rFonts w:ascii="Times New Roman" w:hAnsi="Times New Roman"/>
          <w:sz w:val="24"/>
          <w:szCs w:val="24"/>
          <w:lang w:val="de"/>
        </w:rPr>
        <w:t xml:space="preserve"> (</w:t>
      </w:r>
      <w:r w:rsidR="00137831">
        <w:rPr>
          <w:rFonts w:ascii="Times New Roman" w:hAnsi="Times New Roman"/>
          <w:sz w:val="24"/>
          <w:szCs w:val="24"/>
          <w:lang w:val="de"/>
        </w:rPr>
        <w:t>49-58),</w:t>
      </w:r>
      <w:r>
        <w:rPr>
          <w:rFonts w:ascii="Times New Roman" w:hAnsi="Times New Roman"/>
          <w:sz w:val="24"/>
          <w:szCs w:val="24"/>
          <w:lang w:val="de"/>
        </w:rPr>
        <w:t xml:space="preserve"> weil hier der bewußtseinsgeschichtliche Bogen vom griechischen Ausgangspunkt des Begriffs und sein</w:t>
      </w:r>
      <w:r w:rsidR="00AD147D">
        <w:rPr>
          <w:rFonts w:ascii="Times New Roman" w:hAnsi="Times New Roman"/>
          <w:sz w:val="24"/>
          <w:szCs w:val="24"/>
          <w:lang w:val="de"/>
        </w:rPr>
        <w:t xml:space="preserve">er Verbindung mit dem der </w:t>
      </w:r>
      <w:proofErr w:type="spellStart"/>
      <w:r w:rsidR="00AD147D" w:rsidRPr="00AD147D">
        <w:rPr>
          <w:rFonts w:ascii="Times New Roman" w:hAnsi="Times New Roman"/>
          <w:i/>
          <w:sz w:val="24"/>
          <w:szCs w:val="24"/>
          <w:lang w:val="de"/>
        </w:rPr>
        <w:t>technē</w:t>
      </w:r>
      <w:proofErr w:type="spellEnd"/>
      <w:r>
        <w:rPr>
          <w:rFonts w:ascii="Times New Roman" w:hAnsi="Times New Roman"/>
          <w:sz w:val="24"/>
          <w:szCs w:val="24"/>
          <w:lang w:val="de"/>
        </w:rPr>
        <w:t xml:space="preserve"> und deren mittelalterlicher Fortbestimmung zu dem der </w:t>
      </w:r>
      <w:proofErr w:type="spellStart"/>
      <w:r w:rsidRPr="00AD147D">
        <w:rPr>
          <w:rFonts w:ascii="Times New Roman" w:hAnsi="Times New Roman"/>
          <w:i/>
          <w:sz w:val="24"/>
          <w:szCs w:val="24"/>
          <w:lang w:val="de"/>
        </w:rPr>
        <w:t>ars</w:t>
      </w:r>
      <w:proofErr w:type="spellEnd"/>
      <w:r w:rsidR="00AD147D">
        <w:rPr>
          <w:rFonts w:ascii="Times New Roman" w:hAnsi="Times New Roman"/>
          <w:sz w:val="24"/>
          <w:szCs w:val="24"/>
          <w:lang w:val="de"/>
        </w:rPr>
        <w:t>, dann</w:t>
      </w:r>
      <w:r>
        <w:rPr>
          <w:rFonts w:ascii="Times New Roman" w:hAnsi="Times New Roman"/>
          <w:sz w:val="24"/>
          <w:szCs w:val="24"/>
          <w:lang w:val="de"/>
        </w:rPr>
        <w:t xml:space="preserve"> dem mit der Frühen Neuzeit einsetzenden Pathos künstlerischer Kreativität und der folgenden Genie- und Autonomieästhetik wie </w:t>
      </w:r>
      <w:r w:rsidR="00AD147D">
        <w:rPr>
          <w:rFonts w:ascii="Times New Roman" w:hAnsi="Times New Roman"/>
          <w:sz w:val="24"/>
          <w:szCs w:val="24"/>
          <w:lang w:val="de"/>
        </w:rPr>
        <w:t xml:space="preserve">schließlich </w:t>
      </w:r>
      <w:r>
        <w:rPr>
          <w:rFonts w:ascii="Times New Roman" w:hAnsi="Times New Roman"/>
          <w:sz w:val="24"/>
          <w:szCs w:val="24"/>
          <w:lang w:val="de"/>
        </w:rPr>
        <w:t xml:space="preserve">den Fragen einer Postautonomieästhetik geschlagen wird. Zur </w:t>
      </w:r>
      <w:r>
        <w:rPr>
          <w:rFonts w:ascii="Times New Roman" w:hAnsi="Times New Roman"/>
          <w:i/>
          <w:iCs/>
          <w:sz w:val="24"/>
          <w:szCs w:val="24"/>
          <w:lang w:val="de"/>
        </w:rPr>
        <w:t>Mimesis</w:t>
      </w:r>
      <w:r w:rsidR="00137831">
        <w:rPr>
          <w:rFonts w:ascii="Times New Roman" w:hAnsi="Times New Roman"/>
          <w:sz w:val="24"/>
          <w:szCs w:val="24"/>
          <w:lang w:val="de"/>
        </w:rPr>
        <w:t xml:space="preserve"> (67-78),</w:t>
      </w:r>
      <w:r>
        <w:rPr>
          <w:rFonts w:ascii="Times New Roman" w:hAnsi="Times New Roman"/>
          <w:sz w:val="24"/>
          <w:szCs w:val="24"/>
          <w:lang w:val="de"/>
        </w:rPr>
        <w:t xml:space="preserve"> weil die Frage, ob Kunst als ‚bloßes‘ Nachahmen (eines mentalen Gehalts</w:t>
      </w:r>
      <w:r w:rsidR="00C66B56">
        <w:rPr>
          <w:rFonts w:ascii="Times New Roman" w:hAnsi="Times New Roman"/>
          <w:sz w:val="24"/>
          <w:szCs w:val="24"/>
          <w:lang w:val="de"/>
        </w:rPr>
        <w:t>,</w:t>
      </w:r>
      <w:r>
        <w:rPr>
          <w:rFonts w:ascii="Times New Roman" w:hAnsi="Times New Roman"/>
          <w:sz w:val="24"/>
          <w:szCs w:val="24"/>
          <w:lang w:val="de"/>
        </w:rPr>
        <w:t xml:space="preserve"> bei Platon</w:t>
      </w:r>
      <w:r w:rsidR="00C66B56" w:rsidRPr="00C66B56">
        <w:rPr>
          <w:rFonts w:ascii="Times New Roman" w:hAnsi="Times New Roman"/>
          <w:sz w:val="24"/>
          <w:szCs w:val="24"/>
          <w:lang w:val="de"/>
        </w:rPr>
        <w:t xml:space="preserve"> </w:t>
      </w:r>
      <w:r w:rsidR="00C66B56">
        <w:rPr>
          <w:rFonts w:ascii="Times New Roman" w:hAnsi="Times New Roman"/>
          <w:sz w:val="24"/>
          <w:szCs w:val="24"/>
          <w:lang w:val="de"/>
        </w:rPr>
        <w:t xml:space="preserve">eines </w:t>
      </w:r>
      <w:proofErr w:type="spellStart"/>
      <w:r w:rsidR="00C66B56" w:rsidRPr="00AD147D">
        <w:rPr>
          <w:rFonts w:ascii="Times New Roman" w:hAnsi="Times New Roman"/>
          <w:i/>
          <w:sz w:val="24"/>
          <w:szCs w:val="24"/>
          <w:lang w:val="de"/>
        </w:rPr>
        <w:t>eidos</w:t>
      </w:r>
      <w:proofErr w:type="spellEnd"/>
      <w:r>
        <w:rPr>
          <w:rFonts w:ascii="Times New Roman" w:hAnsi="Times New Roman"/>
          <w:sz w:val="24"/>
          <w:szCs w:val="24"/>
          <w:lang w:val="de"/>
        </w:rPr>
        <w:t xml:space="preserve">) minderen Rang hat oder ob sie ein produktives Vermögen ist und ihr erkenntniserschließende Kraft zukommt (so Aristoteles), einen Antagonismus formuliert, der bis heute von </w:t>
      </w:r>
      <w:r w:rsidR="00AD147D">
        <w:rPr>
          <w:rFonts w:ascii="Times New Roman" w:hAnsi="Times New Roman"/>
          <w:sz w:val="24"/>
          <w:szCs w:val="24"/>
          <w:lang w:val="de"/>
        </w:rPr>
        <w:t xml:space="preserve">nicht nur </w:t>
      </w:r>
      <w:r>
        <w:rPr>
          <w:rFonts w:ascii="Times New Roman" w:hAnsi="Times New Roman"/>
          <w:sz w:val="24"/>
          <w:szCs w:val="24"/>
          <w:lang w:val="de"/>
        </w:rPr>
        <w:t xml:space="preserve">kunstphilosophisch grundlegender Bedeutung ist. Platon </w:t>
      </w:r>
      <w:r w:rsidR="00AD147D">
        <w:rPr>
          <w:rFonts w:ascii="Times New Roman" w:hAnsi="Times New Roman"/>
          <w:sz w:val="24"/>
          <w:szCs w:val="24"/>
          <w:lang w:val="de"/>
        </w:rPr>
        <w:t xml:space="preserve">hat </w:t>
      </w:r>
      <w:r>
        <w:rPr>
          <w:rFonts w:ascii="Times New Roman" w:hAnsi="Times New Roman"/>
          <w:sz w:val="24"/>
          <w:szCs w:val="24"/>
          <w:lang w:val="de"/>
        </w:rPr>
        <w:t xml:space="preserve">die </w:t>
      </w:r>
      <w:r w:rsidR="00AD147D">
        <w:rPr>
          <w:rFonts w:ascii="Times New Roman" w:hAnsi="Times New Roman"/>
          <w:sz w:val="24"/>
          <w:szCs w:val="24"/>
          <w:lang w:val="de"/>
        </w:rPr>
        <w:t>‚</w:t>
      </w:r>
      <w:proofErr w:type="spellStart"/>
      <w:r w:rsidR="00AD147D">
        <w:rPr>
          <w:rFonts w:ascii="Times New Roman" w:hAnsi="Times New Roman"/>
          <w:sz w:val="24"/>
          <w:szCs w:val="24"/>
          <w:lang w:val="de"/>
        </w:rPr>
        <w:t>Mimeten</w:t>
      </w:r>
      <w:proofErr w:type="spellEnd"/>
      <w:r w:rsidR="00AD147D">
        <w:rPr>
          <w:rFonts w:ascii="Times New Roman" w:hAnsi="Times New Roman"/>
          <w:sz w:val="24"/>
          <w:szCs w:val="24"/>
          <w:lang w:val="de"/>
        </w:rPr>
        <w:t>‘</w:t>
      </w:r>
      <w:r>
        <w:rPr>
          <w:rFonts w:ascii="Times New Roman" w:hAnsi="Times New Roman"/>
          <w:sz w:val="24"/>
          <w:szCs w:val="24"/>
          <w:lang w:val="de"/>
        </w:rPr>
        <w:t xml:space="preserve"> aus dem Vergesellschaftungszusammenhang der </w:t>
      </w:r>
      <w:proofErr w:type="spellStart"/>
      <w:r w:rsidRPr="0077318C">
        <w:rPr>
          <w:rFonts w:ascii="Times New Roman" w:hAnsi="Times New Roman"/>
          <w:i/>
          <w:sz w:val="24"/>
          <w:szCs w:val="24"/>
          <w:lang w:val="de"/>
        </w:rPr>
        <w:t>polis</w:t>
      </w:r>
      <w:proofErr w:type="spellEnd"/>
      <w:r w:rsidR="00AD147D">
        <w:rPr>
          <w:rFonts w:ascii="Times New Roman" w:hAnsi="Times New Roman"/>
          <w:sz w:val="24"/>
          <w:szCs w:val="24"/>
          <w:lang w:val="de"/>
        </w:rPr>
        <w:t xml:space="preserve"> verbannt</w:t>
      </w:r>
      <w:r>
        <w:rPr>
          <w:rFonts w:ascii="Times New Roman" w:hAnsi="Times New Roman"/>
          <w:sz w:val="24"/>
          <w:szCs w:val="24"/>
          <w:lang w:val="de"/>
        </w:rPr>
        <w:t>, weil Kunst die ‚eigentliche Wirklichkeit‘ mentaler Gehalte nicht in geforderter</w:t>
      </w:r>
      <w:r w:rsidR="00C66B56">
        <w:rPr>
          <w:rFonts w:ascii="Times New Roman" w:hAnsi="Times New Roman"/>
          <w:sz w:val="24"/>
          <w:szCs w:val="24"/>
          <w:lang w:val="de"/>
        </w:rPr>
        <w:t xml:space="preserve"> und moralisch gereinigter</w:t>
      </w:r>
      <w:r>
        <w:rPr>
          <w:rFonts w:ascii="Times New Roman" w:hAnsi="Times New Roman"/>
          <w:sz w:val="24"/>
          <w:szCs w:val="24"/>
          <w:lang w:val="de"/>
        </w:rPr>
        <w:t xml:space="preserve"> Weise repetiere</w:t>
      </w:r>
      <w:r w:rsidR="00BC027A">
        <w:rPr>
          <w:rFonts w:ascii="Times New Roman" w:hAnsi="Times New Roman"/>
          <w:sz w:val="24"/>
          <w:szCs w:val="24"/>
          <w:lang w:val="de"/>
        </w:rPr>
        <w:t xml:space="preserve">. </w:t>
      </w:r>
      <w:r w:rsidR="0077318C">
        <w:rPr>
          <w:rFonts w:ascii="Times New Roman" w:hAnsi="Times New Roman"/>
          <w:sz w:val="24"/>
          <w:szCs w:val="24"/>
          <w:lang w:val="de"/>
        </w:rPr>
        <w:t>Ob nun als d</w:t>
      </w:r>
      <w:r>
        <w:rPr>
          <w:rFonts w:ascii="Times New Roman" w:hAnsi="Times New Roman"/>
          <w:sz w:val="24"/>
          <w:szCs w:val="24"/>
          <w:lang w:val="de"/>
        </w:rPr>
        <w:t xml:space="preserve">iese eigentliche Wirklichkeit </w:t>
      </w:r>
      <w:r w:rsidR="0077318C">
        <w:rPr>
          <w:rFonts w:ascii="Times New Roman" w:hAnsi="Times New Roman"/>
          <w:sz w:val="24"/>
          <w:szCs w:val="24"/>
          <w:lang w:val="de"/>
        </w:rPr>
        <w:t xml:space="preserve">ein </w:t>
      </w:r>
      <w:r w:rsidR="00BC027A">
        <w:rPr>
          <w:rFonts w:ascii="Times New Roman" w:hAnsi="Times New Roman"/>
          <w:sz w:val="24"/>
          <w:szCs w:val="24"/>
          <w:lang w:val="de"/>
        </w:rPr>
        <w:t xml:space="preserve">göttlicher </w:t>
      </w:r>
      <w:proofErr w:type="spellStart"/>
      <w:r w:rsidR="00BC027A" w:rsidRPr="00BC027A">
        <w:rPr>
          <w:rFonts w:ascii="Times New Roman" w:hAnsi="Times New Roman"/>
          <w:i/>
          <w:sz w:val="24"/>
          <w:szCs w:val="24"/>
          <w:lang w:val="de"/>
        </w:rPr>
        <w:t>ordo</w:t>
      </w:r>
      <w:proofErr w:type="spellEnd"/>
      <w:r w:rsidR="0077318C">
        <w:rPr>
          <w:rFonts w:ascii="Times New Roman" w:hAnsi="Times New Roman"/>
          <w:sz w:val="24"/>
          <w:szCs w:val="24"/>
          <w:lang w:val="de"/>
        </w:rPr>
        <w:t xml:space="preserve"> oder die</w:t>
      </w:r>
      <w:r w:rsidR="00BC027A">
        <w:rPr>
          <w:rFonts w:ascii="Times New Roman" w:hAnsi="Times New Roman"/>
          <w:sz w:val="24"/>
          <w:szCs w:val="24"/>
          <w:lang w:val="de"/>
        </w:rPr>
        <w:t xml:space="preserve"> soziale oder ökologische Relevanz oder eine zu leistende Befreiung aus bürgerlich-kapitalistischen Konventionen</w:t>
      </w:r>
      <w:r w:rsidR="0077318C">
        <w:rPr>
          <w:rFonts w:ascii="Times New Roman" w:hAnsi="Times New Roman"/>
          <w:sz w:val="24"/>
          <w:szCs w:val="24"/>
          <w:lang w:val="de"/>
        </w:rPr>
        <w:t xml:space="preserve"> firmiert</w:t>
      </w:r>
      <w:r w:rsidR="00BC027A">
        <w:rPr>
          <w:rFonts w:ascii="Times New Roman" w:hAnsi="Times New Roman"/>
          <w:sz w:val="24"/>
          <w:szCs w:val="24"/>
          <w:lang w:val="de"/>
        </w:rPr>
        <w:t xml:space="preserve"> – es sind jeweils</w:t>
      </w:r>
      <w:r>
        <w:rPr>
          <w:rFonts w:ascii="Times New Roman" w:hAnsi="Times New Roman"/>
          <w:sz w:val="24"/>
          <w:szCs w:val="24"/>
          <w:lang w:val="de"/>
        </w:rPr>
        <w:t xml:space="preserve"> normative Gehalte, die </w:t>
      </w:r>
      <w:r w:rsidR="00BC027A">
        <w:rPr>
          <w:rFonts w:ascii="Times New Roman" w:hAnsi="Times New Roman"/>
          <w:sz w:val="24"/>
          <w:szCs w:val="24"/>
          <w:lang w:val="de"/>
        </w:rPr>
        <w:t xml:space="preserve">sich </w:t>
      </w:r>
      <w:r>
        <w:rPr>
          <w:rFonts w:ascii="Times New Roman" w:hAnsi="Times New Roman"/>
          <w:sz w:val="24"/>
          <w:szCs w:val="24"/>
          <w:lang w:val="de"/>
        </w:rPr>
        <w:t xml:space="preserve">je nach Mode </w:t>
      </w:r>
      <w:r w:rsidR="00BC027A">
        <w:rPr>
          <w:rFonts w:ascii="Times New Roman" w:hAnsi="Times New Roman"/>
          <w:sz w:val="24"/>
          <w:szCs w:val="24"/>
          <w:lang w:val="de"/>
        </w:rPr>
        <w:t>vorgeschrieben finden</w:t>
      </w:r>
      <w:r>
        <w:rPr>
          <w:rFonts w:ascii="Times New Roman" w:hAnsi="Times New Roman"/>
          <w:sz w:val="24"/>
          <w:szCs w:val="24"/>
          <w:lang w:val="de"/>
        </w:rPr>
        <w:t>. Was die</w:t>
      </w:r>
      <w:r w:rsidR="00BC027A">
        <w:rPr>
          <w:rFonts w:ascii="Times New Roman" w:hAnsi="Times New Roman"/>
          <w:sz w:val="24"/>
          <w:szCs w:val="24"/>
          <w:lang w:val="de"/>
        </w:rPr>
        <w:t xml:space="preserve"> </w:t>
      </w:r>
      <w:r>
        <w:rPr>
          <w:rFonts w:ascii="Times New Roman" w:hAnsi="Times New Roman"/>
          <w:sz w:val="24"/>
          <w:szCs w:val="24"/>
          <w:lang w:val="de"/>
        </w:rPr>
        <w:t xml:space="preserve">erkenntniserschießende Kraft des Nachahmens angeht, </w:t>
      </w:r>
      <w:r w:rsidR="00BC027A">
        <w:rPr>
          <w:rFonts w:ascii="Times New Roman" w:hAnsi="Times New Roman"/>
          <w:sz w:val="24"/>
          <w:szCs w:val="24"/>
          <w:lang w:val="de"/>
        </w:rPr>
        <w:t xml:space="preserve">die Aristoteles der Kunst zugesprochen hat, </w:t>
      </w:r>
      <w:r>
        <w:rPr>
          <w:rFonts w:ascii="Times New Roman" w:hAnsi="Times New Roman"/>
          <w:sz w:val="24"/>
          <w:szCs w:val="24"/>
          <w:lang w:val="de"/>
        </w:rPr>
        <w:t xml:space="preserve">so ist ihr die „Spannung zwischen Imitation und Kreation“ inhärent (vgl. 75) und mit dieser Spannung die Frage, ob es das, was Kunst jeweils ‚nachahmt‘, erst durch dieses Nachahmen gibt. Das verbindet sie mit dem Begriff der </w:t>
      </w:r>
      <w:proofErr w:type="spellStart"/>
      <w:r w:rsidRPr="00BC027A">
        <w:rPr>
          <w:rFonts w:ascii="Times New Roman" w:hAnsi="Times New Roman"/>
          <w:i/>
          <w:sz w:val="24"/>
          <w:szCs w:val="24"/>
          <w:lang w:val="de"/>
        </w:rPr>
        <w:t>poiesis</w:t>
      </w:r>
      <w:proofErr w:type="spellEnd"/>
      <w:r>
        <w:rPr>
          <w:rFonts w:ascii="Times New Roman" w:hAnsi="Times New Roman"/>
          <w:sz w:val="24"/>
          <w:szCs w:val="24"/>
          <w:lang w:val="de"/>
        </w:rPr>
        <w:t xml:space="preserve">. </w:t>
      </w:r>
      <w:r>
        <w:rPr>
          <w:rFonts w:ascii="Times New Roman" w:hAnsi="Times New Roman"/>
          <w:sz w:val="24"/>
          <w:szCs w:val="24"/>
          <w:lang w:val="de"/>
        </w:rPr>
        <w:lastRenderedPageBreak/>
        <w:t>Das nachahmende Hervorbringen richtet sich in wirklichkeitserschießender Weise auf etwas, was ‚noch nicht‘ ist. Davon nicht zuletzt handeln im Handbuch in „Teil I. Kunsthandeln“ die Einträge zu „Kunst als Praxis/ Praxeologie“</w:t>
      </w:r>
      <w:r w:rsidR="00137831">
        <w:rPr>
          <w:rFonts w:ascii="Times New Roman" w:hAnsi="Times New Roman"/>
          <w:sz w:val="24"/>
          <w:szCs w:val="24"/>
          <w:lang w:val="de"/>
        </w:rPr>
        <w:t xml:space="preserve"> (59-66)</w:t>
      </w:r>
      <w:r>
        <w:rPr>
          <w:rFonts w:ascii="Times New Roman" w:hAnsi="Times New Roman"/>
          <w:sz w:val="24"/>
          <w:szCs w:val="24"/>
          <w:lang w:val="de"/>
        </w:rPr>
        <w:t xml:space="preserve"> und „Material“</w:t>
      </w:r>
      <w:r w:rsidR="00137831">
        <w:rPr>
          <w:rFonts w:ascii="Times New Roman" w:hAnsi="Times New Roman"/>
          <w:sz w:val="24"/>
          <w:szCs w:val="24"/>
          <w:lang w:val="de"/>
        </w:rPr>
        <w:t xml:space="preserve"> (95-107)</w:t>
      </w:r>
      <w:r>
        <w:rPr>
          <w:rFonts w:ascii="Times New Roman" w:hAnsi="Times New Roman"/>
          <w:sz w:val="24"/>
          <w:szCs w:val="24"/>
          <w:lang w:val="de"/>
        </w:rPr>
        <w:t>. Ist den Bedingungen der Möglichkeit, die dem Kunsthandeln zuzuordnen sind, ein wirklichkeitserschließendes Hervorbringen implizit, so läßt sich das entsprechende Tun auch „Forschen“ nennen. Folgerichtig schließt Teil 1 des Handbuchs mit dem Eintrag „</w:t>
      </w:r>
      <w:proofErr w:type="spellStart"/>
      <w:r>
        <w:rPr>
          <w:rFonts w:ascii="Times New Roman" w:hAnsi="Times New Roman"/>
          <w:sz w:val="24"/>
          <w:szCs w:val="24"/>
          <w:lang w:val="de"/>
        </w:rPr>
        <w:t>Artistic</w:t>
      </w:r>
      <w:proofErr w:type="spellEnd"/>
      <w:r>
        <w:rPr>
          <w:rFonts w:ascii="Times New Roman" w:hAnsi="Times New Roman"/>
          <w:sz w:val="24"/>
          <w:szCs w:val="24"/>
          <w:lang w:val="de"/>
        </w:rPr>
        <w:t xml:space="preserve"> Research /Künstlerische Forschung“</w:t>
      </w:r>
      <w:r w:rsidR="00CA369D">
        <w:rPr>
          <w:rFonts w:ascii="Times New Roman" w:hAnsi="Times New Roman"/>
          <w:sz w:val="24"/>
          <w:szCs w:val="24"/>
          <w:lang w:val="de"/>
        </w:rPr>
        <w:t xml:space="preserve"> (</w:t>
      </w:r>
      <w:r w:rsidR="00137831">
        <w:rPr>
          <w:rFonts w:ascii="Times New Roman" w:hAnsi="Times New Roman"/>
          <w:sz w:val="24"/>
          <w:szCs w:val="24"/>
          <w:lang w:val="de"/>
        </w:rPr>
        <w:t>147-163)</w:t>
      </w:r>
      <w:r>
        <w:rPr>
          <w:rFonts w:ascii="Times New Roman" w:hAnsi="Times New Roman"/>
          <w:sz w:val="24"/>
          <w:szCs w:val="24"/>
          <w:lang w:val="de"/>
        </w:rPr>
        <w:t>, der der spezifischen Logizität „ästhetischer Forschung“ gilt und abschließt, was bezüglich der ‚</w:t>
      </w:r>
      <w:proofErr w:type="spellStart"/>
      <w:r>
        <w:rPr>
          <w:rFonts w:ascii="Times New Roman" w:hAnsi="Times New Roman"/>
          <w:sz w:val="24"/>
          <w:szCs w:val="24"/>
          <w:lang w:val="de"/>
        </w:rPr>
        <w:t>basics</w:t>
      </w:r>
      <w:proofErr w:type="spellEnd"/>
      <w:r>
        <w:rPr>
          <w:rFonts w:ascii="Times New Roman" w:hAnsi="Times New Roman"/>
          <w:sz w:val="24"/>
          <w:szCs w:val="24"/>
          <w:lang w:val="de"/>
        </w:rPr>
        <w:t xml:space="preserve">‘, man könnte auch sagen: zum Grund ästhetischen Tuns </w:t>
      </w:r>
      <w:r w:rsidR="006748CB">
        <w:rPr>
          <w:rFonts w:ascii="Times New Roman" w:hAnsi="Times New Roman"/>
          <w:sz w:val="24"/>
          <w:szCs w:val="24"/>
          <w:lang w:val="de"/>
        </w:rPr>
        <w:t xml:space="preserve">als Diskussionsstand </w:t>
      </w:r>
      <w:r>
        <w:rPr>
          <w:rFonts w:ascii="Times New Roman" w:hAnsi="Times New Roman"/>
          <w:sz w:val="24"/>
          <w:szCs w:val="24"/>
          <w:lang w:val="de"/>
        </w:rPr>
        <w:t xml:space="preserve">festzuhalten ist. – Nun ist es dem, was als Grund bestimmt wird (wie es in Hegels </w:t>
      </w:r>
      <w:r w:rsidRPr="00CA369D">
        <w:rPr>
          <w:rFonts w:ascii="Times New Roman" w:hAnsi="Times New Roman"/>
          <w:i/>
          <w:sz w:val="24"/>
          <w:szCs w:val="24"/>
          <w:lang w:val="de"/>
        </w:rPr>
        <w:t>Wissenschaft der Logik</w:t>
      </w:r>
      <w:r w:rsidR="00CA369D">
        <w:rPr>
          <w:rFonts w:ascii="Times New Roman" w:hAnsi="Times New Roman"/>
          <w:i/>
          <w:sz w:val="24"/>
          <w:szCs w:val="24"/>
          <w:lang w:val="de"/>
        </w:rPr>
        <w:t xml:space="preserve"> </w:t>
      </w:r>
      <w:r>
        <w:rPr>
          <w:rFonts w:ascii="Times New Roman" w:hAnsi="Times New Roman"/>
          <w:sz w:val="24"/>
          <w:szCs w:val="24"/>
          <w:lang w:val="de"/>
        </w:rPr>
        <w:t>heißt), wesentlich zu erscheinen.</w:t>
      </w:r>
      <w:r w:rsidR="006748CB">
        <w:rPr>
          <w:rStyle w:val="Funotenzeichen"/>
          <w:rFonts w:ascii="Times New Roman" w:hAnsi="Times New Roman"/>
          <w:sz w:val="24"/>
          <w:szCs w:val="24"/>
          <w:lang w:val="de"/>
        </w:rPr>
        <w:footnoteReference w:id="3"/>
      </w:r>
      <w:r>
        <w:rPr>
          <w:rFonts w:ascii="Times New Roman" w:hAnsi="Times New Roman"/>
          <w:sz w:val="24"/>
          <w:szCs w:val="24"/>
          <w:lang w:val="de"/>
        </w:rPr>
        <w:t xml:space="preserve"> Dem folgend bietet Teil II des Handbuchs die Beiträge, die der Erscheinungswirklichkeit gelten, die ‚Kunsthandeln‘ qua „Kunstwerk / Aufführung“ erfährt. Als Lemmata, mittels derer die Strukturen des Performativen diskutiert werden, folgen „Artefakt“, „Kunstwerk“, „Form“, „Sinn“, „Gehalt“, „Zeitlichkeit“, „Philosophie des Bildes“, „Visual Culture Studies“, „Partitu</w:t>
      </w:r>
      <w:r w:rsidR="00137831">
        <w:rPr>
          <w:rFonts w:ascii="Times New Roman" w:hAnsi="Times New Roman"/>
          <w:sz w:val="24"/>
          <w:szCs w:val="24"/>
          <w:lang w:val="de"/>
        </w:rPr>
        <w:t>r</w:t>
      </w:r>
      <w:r>
        <w:rPr>
          <w:rFonts w:ascii="Times New Roman" w:hAnsi="Times New Roman"/>
          <w:sz w:val="24"/>
          <w:szCs w:val="24"/>
          <w:lang w:val="de"/>
        </w:rPr>
        <w:t xml:space="preserve"> / Notation“, „Performance“ und „Kopie“ aufeinander.</w:t>
      </w:r>
      <w:r w:rsidR="00F65F2C">
        <w:rPr>
          <w:rFonts w:ascii="Times New Roman" w:hAnsi="Times New Roman"/>
          <w:sz w:val="24"/>
          <w:szCs w:val="24"/>
          <w:lang w:val="de"/>
        </w:rPr>
        <w:t xml:space="preserve"> </w:t>
      </w:r>
      <w:r w:rsidR="00C66B56">
        <w:rPr>
          <w:rFonts w:ascii="Times New Roman" w:hAnsi="Times New Roman"/>
          <w:sz w:val="24"/>
          <w:szCs w:val="24"/>
          <w:lang w:val="de"/>
        </w:rPr>
        <w:t>Im</w:t>
      </w:r>
      <w:r w:rsidR="006748CB">
        <w:rPr>
          <w:rFonts w:ascii="Times New Roman" w:hAnsi="Times New Roman"/>
          <w:sz w:val="24"/>
          <w:szCs w:val="24"/>
          <w:lang w:val="de"/>
        </w:rPr>
        <w:t xml:space="preserve"> Beitrag</w:t>
      </w:r>
      <w:r w:rsidR="00F65F2C">
        <w:rPr>
          <w:rFonts w:ascii="Times New Roman" w:hAnsi="Times New Roman"/>
          <w:sz w:val="24"/>
          <w:szCs w:val="24"/>
          <w:lang w:val="de"/>
        </w:rPr>
        <w:t xml:space="preserve"> zum</w:t>
      </w:r>
      <w:r w:rsidR="006748CB">
        <w:rPr>
          <w:rFonts w:ascii="Times New Roman" w:hAnsi="Times New Roman"/>
          <w:sz w:val="24"/>
          <w:szCs w:val="24"/>
          <w:lang w:val="de"/>
        </w:rPr>
        <w:t xml:space="preserve"> „Kunstwerk“ </w:t>
      </w:r>
      <w:r w:rsidR="00137831">
        <w:rPr>
          <w:rFonts w:ascii="Times New Roman" w:hAnsi="Times New Roman"/>
          <w:sz w:val="24"/>
          <w:szCs w:val="24"/>
          <w:lang w:val="de"/>
        </w:rPr>
        <w:t xml:space="preserve">(179-191) </w:t>
      </w:r>
      <w:r w:rsidR="0077318C">
        <w:rPr>
          <w:rFonts w:ascii="Times New Roman" w:hAnsi="Times New Roman"/>
          <w:sz w:val="24"/>
          <w:szCs w:val="24"/>
          <w:lang w:val="de"/>
        </w:rPr>
        <w:t>schließt die der Diskussion von</w:t>
      </w:r>
      <w:r w:rsidR="00F65F2C">
        <w:rPr>
          <w:rFonts w:ascii="Times New Roman" w:hAnsi="Times New Roman"/>
          <w:sz w:val="24"/>
          <w:szCs w:val="24"/>
          <w:lang w:val="de"/>
        </w:rPr>
        <w:t xml:space="preserve"> „Genie, Formgesetz, Interpretation“ folgende </w:t>
      </w:r>
      <w:r w:rsidR="006748CB">
        <w:rPr>
          <w:rFonts w:ascii="Times New Roman" w:hAnsi="Times New Roman"/>
          <w:sz w:val="24"/>
          <w:szCs w:val="24"/>
          <w:lang w:val="de"/>
        </w:rPr>
        <w:t>Frage „Jenseits des Werkbegriffs</w:t>
      </w:r>
      <w:r w:rsidR="00F65F2C">
        <w:rPr>
          <w:rFonts w:ascii="Times New Roman" w:hAnsi="Times New Roman"/>
          <w:sz w:val="24"/>
          <w:szCs w:val="24"/>
          <w:lang w:val="de"/>
        </w:rPr>
        <w:t>?</w:t>
      </w:r>
      <w:r w:rsidR="006748CB">
        <w:rPr>
          <w:rFonts w:ascii="Times New Roman" w:hAnsi="Times New Roman"/>
          <w:sz w:val="24"/>
          <w:szCs w:val="24"/>
          <w:lang w:val="de"/>
        </w:rPr>
        <w:t>“</w:t>
      </w:r>
      <w:r w:rsidR="00F65F2C">
        <w:rPr>
          <w:rFonts w:ascii="Times New Roman" w:hAnsi="Times New Roman"/>
          <w:sz w:val="24"/>
          <w:szCs w:val="24"/>
          <w:lang w:val="de"/>
        </w:rPr>
        <w:t xml:space="preserve"> mit der Forderung einer „angemessenen Konkretisierung“ des zuvor „mit Kant, Adorno und </w:t>
      </w:r>
      <w:proofErr w:type="spellStart"/>
      <w:r w:rsidR="00F65F2C">
        <w:rPr>
          <w:rFonts w:ascii="Times New Roman" w:hAnsi="Times New Roman"/>
          <w:sz w:val="24"/>
          <w:szCs w:val="24"/>
          <w:lang w:val="de"/>
        </w:rPr>
        <w:t>Danto</w:t>
      </w:r>
      <w:proofErr w:type="spellEnd"/>
      <w:r w:rsidR="00F65F2C">
        <w:rPr>
          <w:rFonts w:ascii="Times New Roman" w:hAnsi="Times New Roman"/>
          <w:sz w:val="24"/>
          <w:szCs w:val="24"/>
          <w:lang w:val="de"/>
        </w:rPr>
        <w:t>“ Entwickelten (vgl. 190).</w:t>
      </w:r>
      <w:r w:rsidR="009D4739">
        <w:rPr>
          <w:rFonts w:ascii="Times New Roman" w:hAnsi="Times New Roman"/>
          <w:sz w:val="24"/>
          <w:szCs w:val="24"/>
          <w:lang w:val="de"/>
        </w:rPr>
        <w:t xml:space="preserve"> Zu dieser Konkretisierung gehört die Einsicht, daß „Kunstwerke als Momente der Kunstpraxis zu verstehen, </w:t>
      </w:r>
      <w:r w:rsidR="009D4739" w:rsidRPr="009D4739">
        <w:rPr>
          <w:rFonts w:ascii="Times New Roman" w:hAnsi="Times New Roman"/>
          <w:i/>
          <w:sz w:val="24"/>
          <w:szCs w:val="24"/>
          <w:lang w:val="de"/>
        </w:rPr>
        <w:t>ihren ästhetischen Sinn zu erfassen</w:t>
      </w:r>
      <w:r w:rsidR="00CA369D">
        <w:rPr>
          <w:rFonts w:ascii="Times New Roman" w:hAnsi="Times New Roman"/>
          <w:sz w:val="24"/>
          <w:szCs w:val="24"/>
          <w:lang w:val="de"/>
        </w:rPr>
        <w:t>, […] etwas anderes [ist]</w:t>
      </w:r>
      <w:r w:rsidR="009D4739">
        <w:rPr>
          <w:rFonts w:ascii="Times New Roman" w:hAnsi="Times New Roman"/>
          <w:sz w:val="24"/>
          <w:szCs w:val="24"/>
          <w:lang w:val="de"/>
        </w:rPr>
        <w:t xml:space="preserve"> als die Bedeutung von Botschaften od</w:t>
      </w:r>
      <w:r w:rsidR="00CA369D">
        <w:rPr>
          <w:rFonts w:ascii="Times New Roman" w:hAnsi="Times New Roman"/>
          <w:sz w:val="24"/>
          <w:szCs w:val="24"/>
          <w:lang w:val="de"/>
        </w:rPr>
        <w:t>er Mitteilungen zu verstehen […]</w:t>
      </w:r>
      <w:r w:rsidR="009D4739">
        <w:rPr>
          <w:rFonts w:ascii="Times New Roman" w:hAnsi="Times New Roman"/>
          <w:sz w:val="24"/>
          <w:szCs w:val="24"/>
          <w:lang w:val="de"/>
        </w:rPr>
        <w:t>.</w:t>
      </w:r>
      <w:r w:rsidR="00CA369D">
        <w:rPr>
          <w:rFonts w:ascii="Times New Roman" w:hAnsi="Times New Roman"/>
          <w:sz w:val="24"/>
          <w:szCs w:val="24"/>
          <w:lang w:val="de"/>
        </w:rPr>
        <w:t>“ Ihrem „[…]</w:t>
      </w:r>
      <w:r w:rsidR="00A26B90">
        <w:rPr>
          <w:rFonts w:ascii="Times New Roman" w:hAnsi="Times New Roman"/>
          <w:sz w:val="24"/>
          <w:szCs w:val="24"/>
          <w:lang w:val="de"/>
        </w:rPr>
        <w:t xml:space="preserve"> erfahru</w:t>
      </w:r>
      <w:r w:rsidR="0077318C">
        <w:rPr>
          <w:rFonts w:ascii="Times New Roman" w:hAnsi="Times New Roman"/>
          <w:sz w:val="24"/>
          <w:szCs w:val="24"/>
          <w:lang w:val="de"/>
        </w:rPr>
        <w:t>n</w:t>
      </w:r>
      <w:r w:rsidR="00A26B90">
        <w:rPr>
          <w:rFonts w:ascii="Times New Roman" w:hAnsi="Times New Roman"/>
          <w:sz w:val="24"/>
          <w:szCs w:val="24"/>
          <w:lang w:val="de"/>
        </w:rPr>
        <w:t>gsförmige</w:t>
      </w:r>
      <w:r w:rsidR="00CA369D">
        <w:rPr>
          <w:rFonts w:ascii="Times New Roman" w:hAnsi="Times New Roman"/>
          <w:sz w:val="24"/>
          <w:szCs w:val="24"/>
          <w:lang w:val="de"/>
        </w:rPr>
        <w:t>[</w:t>
      </w:r>
      <w:r w:rsidR="00A26B90">
        <w:rPr>
          <w:rFonts w:ascii="Times New Roman" w:hAnsi="Times New Roman"/>
          <w:sz w:val="24"/>
          <w:szCs w:val="24"/>
          <w:lang w:val="de"/>
        </w:rPr>
        <w:t>n</w:t>
      </w:r>
      <w:r w:rsidR="00CA369D">
        <w:rPr>
          <w:rFonts w:ascii="Times New Roman" w:hAnsi="Times New Roman"/>
          <w:sz w:val="24"/>
          <w:szCs w:val="24"/>
          <w:lang w:val="de"/>
        </w:rPr>
        <w:t>]</w:t>
      </w:r>
      <w:r w:rsidR="00A26B90">
        <w:rPr>
          <w:rFonts w:ascii="Times New Roman" w:hAnsi="Times New Roman"/>
          <w:sz w:val="24"/>
          <w:szCs w:val="24"/>
          <w:lang w:val="de"/>
        </w:rPr>
        <w:t xml:space="preserve"> Erfassen </w:t>
      </w:r>
      <w:r w:rsidR="00CA369D">
        <w:rPr>
          <w:rFonts w:ascii="Times New Roman" w:hAnsi="Times New Roman"/>
          <w:sz w:val="24"/>
          <w:szCs w:val="24"/>
          <w:lang w:val="de"/>
        </w:rPr>
        <w:t>[…] wohnt, wie Kant präpariert hat</w:t>
      </w:r>
      <w:r w:rsidR="00A26B90">
        <w:rPr>
          <w:rFonts w:ascii="Times New Roman" w:hAnsi="Times New Roman"/>
          <w:sz w:val="24"/>
          <w:szCs w:val="24"/>
          <w:lang w:val="de"/>
        </w:rPr>
        <w:t xml:space="preserve">, der Anspruch inne, anderen </w:t>
      </w:r>
      <w:proofErr w:type="spellStart"/>
      <w:r w:rsidR="00A26B90">
        <w:rPr>
          <w:rFonts w:ascii="Times New Roman" w:hAnsi="Times New Roman"/>
          <w:sz w:val="24"/>
          <w:szCs w:val="24"/>
          <w:lang w:val="de"/>
        </w:rPr>
        <w:t>angesonnen</w:t>
      </w:r>
      <w:proofErr w:type="spellEnd"/>
      <w:r w:rsidR="00A26B90">
        <w:rPr>
          <w:rFonts w:ascii="Times New Roman" w:hAnsi="Times New Roman"/>
          <w:sz w:val="24"/>
          <w:szCs w:val="24"/>
          <w:lang w:val="de"/>
        </w:rPr>
        <w:t xml:space="preserve"> werden zu dürfen.“</w:t>
      </w:r>
      <w:r w:rsidR="009D4739">
        <w:rPr>
          <w:rFonts w:ascii="Times New Roman" w:hAnsi="Times New Roman"/>
          <w:sz w:val="24"/>
          <w:szCs w:val="24"/>
          <w:lang w:val="de"/>
        </w:rPr>
        <w:t xml:space="preserve"> (Beitrag „Sinn“, 208</w:t>
      </w:r>
      <w:r w:rsidR="00A26B90">
        <w:rPr>
          <w:rFonts w:ascii="Times New Roman" w:hAnsi="Times New Roman"/>
          <w:sz w:val="24"/>
          <w:szCs w:val="24"/>
          <w:lang w:val="de"/>
        </w:rPr>
        <w:t>, 211</w:t>
      </w:r>
      <w:r w:rsidR="009D4739">
        <w:rPr>
          <w:rFonts w:ascii="Times New Roman" w:hAnsi="Times New Roman"/>
          <w:sz w:val="24"/>
          <w:szCs w:val="24"/>
          <w:lang w:val="de"/>
        </w:rPr>
        <w:t>).</w:t>
      </w:r>
      <w:r w:rsidR="00A26B90">
        <w:rPr>
          <w:rFonts w:ascii="Times New Roman" w:hAnsi="Times New Roman"/>
          <w:sz w:val="24"/>
          <w:szCs w:val="24"/>
          <w:lang w:val="de"/>
        </w:rPr>
        <w:t xml:space="preserve"> Dieser Anspruch </w:t>
      </w:r>
      <w:r w:rsidR="00557D64">
        <w:rPr>
          <w:rFonts w:ascii="Times New Roman" w:hAnsi="Times New Roman"/>
          <w:sz w:val="24"/>
          <w:szCs w:val="24"/>
          <w:lang w:val="de"/>
        </w:rPr>
        <w:t xml:space="preserve">hat ein wesentliches </w:t>
      </w:r>
      <w:proofErr w:type="spellStart"/>
      <w:r w:rsidR="00557D64">
        <w:rPr>
          <w:rFonts w:ascii="Times New Roman" w:hAnsi="Times New Roman"/>
          <w:sz w:val="24"/>
          <w:szCs w:val="24"/>
          <w:lang w:val="de"/>
        </w:rPr>
        <w:t>fundamentum</w:t>
      </w:r>
      <w:proofErr w:type="spellEnd"/>
      <w:r w:rsidR="00557D64">
        <w:rPr>
          <w:rFonts w:ascii="Times New Roman" w:hAnsi="Times New Roman"/>
          <w:sz w:val="24"/>
          <w:szCs w:val="24"/>
          <w:lang w:val="de"/>
        </w:rPr>
        <w:t xml:space="preserve"> in </w:t>
      </w:r>
      <w:proofErr w:type="spellStart"/>
      <w:r w:rsidR="00557D64">
        <w:rPr>
          <w:rFonts w:ascii="Times New Roman" w:hAnsi="Times New Roman"/>
          <w:sz w:val="24"/>
          <w:szCs w:val="24"/>
          <w:lang w:val="de"/>
        </w:rPr>
        <w:t>re</w:t>
      </w:r>
      <w:proofErr w:type="spellEnd"/>
      <w:r w:rsidR="00557D64">
        <w:rPr>
          <w:rFonts w:ascii="Times New Roman" w:hAnsi="Times New Roman"/>
          <w:sz w:val="24"/>
          <w:szCs w:val="24"/>
          <w:lang w:val="de"/>
        </w:rPr>
        <w:t xml:space="preserve"> in der „Zeitlichkeit“ ästhetischer Phänomene und den Zeiterfahrungsformen, die in das „Material und die Form von Kunstwerken“ eingehen, Bedingung „ihrer Herstellung, ihrer inneren Prozessualität und des Vollzugs“ ihrer Erfahrung sind oder auch „</w:t>
      </w:r>
      <w:r w:rsidR="003C373D">
        <w:rPr>
          <w:rFonts w:ascii="Times New Roman" w:hAnsi="Times New Roman"/>
          <w:sz w:val="24"/>
          <w:szCs w:val="24"/>
          <w:lang w:val="de"/>
        </w:rPr>
        <w:t>latent, indirekt oder explizit […]</w:t>
      </w:r>
      <w:r w:rsidR="00557D64">
        <w:rPr>
          <w:rFonts w:ascii="Times New Roman" w:hAnsi="Times New Roman"/>
          <w:sz w:val="24"/>
          <w:szCs w:val="24"/>
          <w:lang w:val="de"/>
        </w:rPr>
        <w:t xml:space="preserve"> zum Thema werden</w:t>
      </w:r>
      <w:r w:rsidR="0051448B">
        <w:rPr>
          <w:rFonts w:ascii="Times New Roman" w:hAnsi="Times New Roman"/>
          <w:sz w:val="24"/>
          <w:szCs w:val="24"/>
          <w:lang w:val="de"/>
        </w:rPr>
        <w:t xml:space="preserve">.“ </w:t>
      </w:r>
      <w:r w:rsidR="001C3AFD">
        <w:rPr>
          <w:rFonts w:ascii="Times New Roman" w:hAnsi="Times New Roman"/>
          <w:sz w:val="24"/>
          <w:szCs w:val="24"/>
          <w:lang w:val="de"/>
        </w:rPr>
        <w:t>Daß Kunstwerke als</w:t>
      </w:r>
      <w:r w:rsidR="00BA6608">
        <w:rPr>
          <w:rFonts w:ascii="Times New Roman" w:hAnsi="Times New Roman"/>
          <w:sz w:val="24"/>
          <w:szCs w:val="24"/>
          <w:lang w:val="de"/>
        </w:rPr>
        <w:t xml:space="preserve"> </w:t>
      </w:r>
      <w:r w:rsidR="001C3AFD">
        <w:rPr>
          <w:rFonts w:ascii="Times New Roman" w:hAnsi="Times New Roman"/>
          <w:sz w:val="24"/>
          <w:szCs w:val="24"/>
          <w:lang w:val="de"/>
        </w:rPr>
        <w:t xml:space="preserve">Gestalt werdende Tätigkeitsformen </w:t>
      </w:r>
      <w:r w:rsidR="00BA6608">
        <w:rPr>
          <w:rFonts w:ascii="Times New Roman" w:hAnsi="Times New Roman"/>
          <w:sz w:val="24"/>
          <w:szCs w:val="24"/>
          <w:lang w:val="de"/>
        </w:rPr>
        <w:t>Aufklärung über „die metaphysischen</w:t>
      </w:r>
      <w:r w:rsidR="0051448B">
        <w:rPr>
          <w:rFonts w:ascii="Times New Roman" w:hAnsi="Times New Roman"/>
          <w:sz w:val="24"/>
          <w:szCs w:val="24"/>
          <w:lang w:val="de"/>
        </w:rPr>
        <w:t xml:space="preserve"> </w:t>
      </w:r>
      <w:r w:rsidR="001C3AFD">
        <w:rPr>
          <w:rFonts w:ascii="Times New Roman" w:hAnsi="Times New Roman"/>
          <w:sz w:val="24"/>
          <w:szCs w:val="24"/>
          <w:lang w:val="de"/>
        </w:rPr>
        <w:t>und exis</w:t>
      </w:r>
      <w:r w:rsidR="003C373D">
        <w:rPr>
          <w:rFonts w:ascii="Times New Roman" w:hAnsi="Times New Roman"/>
          <w:sz w:val="24"/>
          <w:szCs w:val="24"/>
          <w:lang w:val="de"/>
        </w:rPr>
        <w:t>tenziellen Paradoxien der Zeit […]</w:t>
      </w:r>
      <w:r w:rsidR="001C3AFD">
        <w:rPr>
          <w:rFonts w:ascii="Times New Roman" w:hAnsi="Times New Roman"/>
          <w:sz w:val="24"/>
          <w:szCs w:val="24"/>
          <w:lang w:val="de"/>
        </w:rPr>
        <w:t xml:space="preserve">“ </w:t>
      </w:r>
      <w:r w:rsidR="0077318C">
        <w:rPr>
          <w:rFonts w:ascii="Times New Roman" w:hAnsi="Times New Roman"/>
          <w:sz w:val="24"/>
          <w:szCs w:val="24"/>
          <w:lang w:val="de"/>
        </w:rPr>
        <w:t>verschaffen, wird im Beitrag „Zeitlichkeit“</w:t>
      </w:r>
      <w:r w:rsidR="001C3AFD">
        <w:rPr>
          <w:rFonts w:ascii="Times New Roman" w:hAnsi="Times New Roman"/>
          <w:sz w:val="24"/>
          <w:szCs w:val="24"/>
          <w:lang w:val="de"/>
        </w:rPr>
        <w:t xml:space="preserve"> </w:t>
      </w:r>
      <w:r w:rsidR="00B507A3">
        <w:rPr>
          <w:rFonts w:ascii="Times New Roman" w:hAnsi="Times New Roman"/>
          <w:sz w:val="24"/>
          <w:szCs w:val="24"/>
          <w:lang w:val="de"/>
        </w:rPr>
        <w:t xml:space="preserve">in grundlegender Weise erläutert </w:t>
      </w:r>
      <w:r w:rsidR="001C3AFD">
        <w:rPr>
          <w:rFonts w:ascii="Times New Roman" w:hAnsi="Times New Roman"/>
          <w:sz w:val="24"/>
          <w:szCs w:val="24"/>
          <w:lang w:val="de"/>
        </w:rPr>
        <w:t>(vgl. 229-244).</w:t>
      </w:r>
      <w:r w:rsidR="00B507A3">
        <w:rPr>
          <w:rFonts w:ascii="Times New Roman" w:hAnsi="Times New Roman"/>
          <w:sz w:val="24"/>
          <w:szCs w:val="24"/>
          <w:lang w:val="de"/>
        </w:rPr>
        <w:t xml:space="preserve"> </w:t>
      </w:r>
      <w:r w:rsidR="0055489E">
        <w:rPr>
          <w:rFonts w:ascii="Times New Roman" w:hAnsi="Times New Roman"/>
          <w:sz w:val="24"/>
          <w:szCs w:val="24"/>
          <w:lang w:val="de"/>
        </w:rPr>
        <w:t>Quasi selbstverständlich ist es, daß</w:t>
      </w:r>
      <w:r w:rsidR="00B507A3">
        <w:rPr>
          <w:rFonts w:ascii="Times New Roman" w:hAnsi="Times New Roman"/>
          <w:sz w:val="24"/>
          <w:szCs w:val="24"/>
          <w:lang w:val="de"/>
        </w:rPr>
        <w:t xml:space="preserve"> </w:t>
      </w:r>
      <w:r w:rsidR="0055489E">
        <w:rPr>
          <w:rFonts w:ascii="Times New Roman" w:hAnsi="Times New Roman"/>
          <w:sz w:val="24"/>
          <w:szCs w:val="24"/>
          <w:lang w:val="de"/>
        </w:rPr>
        <w:t xml:space="preserve">sich </w:t>
      </w:r>
      <w:r w:rsidR="00B507A3">
        <w:rPr>
          <w:rFonts w:ascii="Times New Roman" w:hAnsi="Times New Roman"/>
          <w:sz w:val="24"/>
          <w:szCs w:val="24"/>
          <w:lang w:val="de"/>
        </w:rPr>
        <w:t>die</w:t>
      </w:r>
      <w:r w:rsidR="0077318C">
        <w:rPr>
          <w:rFonts w:ascii="Times New Roman" w:hAnsi="Times New Roman"/>
          <w:sz w:val="24"/>
          <w:szCs w:val="24"/>
          <w:lang w:val="de"/>
        </w:rPr>
        <w:t>se</w:t>
      </w:r>
      <w:r w:rsidR="00B507A3">
        <w:rPr>
          <w:rFonts w:ascii="Times New Roman" w:hAnsi="Times New Roman"/>
          <w:sz w:val="24"/>
          <w:szCs w:val="24"/>
          <w:lang w:val="de"/>
        </w:rPr>
        <w:t xml:space="preserve"> Aufklärungsarbeit </w:t>
      </w:r>
      <w:r w:rsidR="0077318C">
        <w:rPr>
          <w:rFonts w:ascii="Times New Roman" w:hAnsi="Times New Roman"/>
          <w:sz w:val="24"/>
          <w:szCs w:val="24"/>
          <w:lang w:val="de"/>
        </w:rPr>
        <w:t xml:space="preserve">gerade </w:t>
      </w:r>
      <w:r w:rsidR="0055489E">
        <w:rPr>
          <w:rFonts w:ascii="Times New Roman" w:hAnsi="Times New Roman"/>
          <w:sz w:val="24"/>
          <w:szCs w:val="24"/>
          <w:lang w:val="de"/>
        </w:rPr>
        <w:t>in den</w:t>
      </w:r>
      <w:r w:rsidR="00B507A3">
        <w:rPr>
          <w:rFonts w:ascii="Times New Roman" w:hAnsi="Times New Roman"/>
          <w:sz w:val="24"/>
          <w:szCs w:val="24"/>
          <w:lang w:val="de"/>
        </w:rPr>
        <w:t xml:space="preserve"> Künste</w:t>
      </w:r>
      <w:r w:rsidR="0055489E">
        <w:rPr>
          <w:rFonts w:ascii="Times New Roman" w:hAnsi="Times New Roman"/>
          <w:sz w:val="24"/>
          <w:szCs w:val="24"/>
          <w:lang w:val="de"/>
        </w:rPr>
        <w:t xml:space="preserve">n zeigt, für die ‚Zeit‘ – das Vorübergehen jeweiliger Präsenzen – </w:t>
      </w:r>
      <w:r w:rsidR="0055489E">
        <w:rPr>
          <w:rFonts w:ascii="Times New Roman" w:hAnsi="Times New Roman"/>
          <w:sz w:val="24"/>
          <w:szCs w:val="24"/>
          <w:lang w:val="de"/>
        </w:rPr>
        <w:lastRenderedPageBreak/>
        <w:t>integrales Moment ist: insbesondere für die ‚Zeitkunst‘ Musik also, aber nicht weniger in dem, w</w:t>
      </w:r>
      <w:r w:rsidR="001B7CBC">
        <w:rPr>
          <w:rFonts w:ascii="Times New Roman" w:hAnsi="Times New Roman"/>
          <w:sz w:val="24"/>
          <w:szCs w:val="24"/>
          <w:lang w:val="de"/>
        </w:rPr>
        <w:t>as unter</w:t>
      </w:r>
      <w:r w:rsidR="0055489E">
        <w:rPr>
          <w:rFonts w:ascii="Times New Roman" w:hAnsi="Times New Roman"/>
          <w:sz w:val="24"/>
          <w:szCs w:val="24"/>
          <w:lang w:val="de"/>
        </w:rPr>
        <w:t xml:space="preserve"> „Visual Culture“ und „Performance“ </w:t>
      </w:r>
      <w:r w:rsidR="001B7CBC">
        <w:rPr>
          <w:rFonts w:ascii="Times New Roman" w:hAnsi="Times New Roman"/>
          <w:sz w:val="24"/>
          <w:szCs w:val="24"/>
          <w:lang w:val="de"/>
        </w:rPr>
        <w:t xml:space="preserve">zur Diskussion steht </w:t>
      </w:r>
      <w:r w:rsidR="0055489E">
        <w:rPr>
          <w:rFonts w:ascii="Times New Roman" w:hAnsi="Times New Roman"/>
          <w:sz w:val="24"/>
          <w:szCs w:val="24"/>
          <w:lang w:val="de"/>
        </w:rPr>
        <w:t xml:space="preserve"> (vgl. die Beiträge</w:t>
      </w:r>
      <w:r w:rsidR="001B7CBC">
        <w:rPr>
          <w:rFonts w:ascii="Times New Roman" w:hAnsi="Times New Roman"/>
          <w:sz w:val="24"/>
          <w:szCs w:val="24"/>
          <w:lang w:val="de"/>
        </w:rPr>
        <w:t xml:space="preserve"> „Visual Culture Studies“, „Partitur / Notation“, „Performance“</w:t>
      </w:r>
      <w:r w:rsidR="00137831">
        <w:rPr>
          <w:rFonts w:ascii="Times New Roman" w:hAnsi="Times New Roman"/>
          <w:sz w:val="24"/>
          <w:szCs w:val="24"/>
          <w:lang w:val="de"/>
        </w:rPr>
        <w:t>, 259-302</w:t>
      </w:r>
      <w:r w:rsidR="001B7CBC">
        <w:rPr>
          <w:rFonts w:ascii="Times New Roman" w:hAnsi="Times New Roman"/>
          <w:sz w:val="24"/>
          <w:szCs w:val="24"/>
          <w:lang w:val="de"/>
        </w:rPr>
        <w:t>)</w:t>
      </w:r>
      <w:r w:rsidR="0055489E">
        <w:rPr>
          <w:rFonts w:ascii="Times New Roman" w:hAnsi="Times New Roman"/>
          <w:sz w:val="24"/>
          <w:szCs w:val="24"/>
          <w:lang w:val="de"/>
        </w:rPr>
        <w:t xml:space="preserve">. </w:t>
      </w:r>
      <w:r w:rsidR="00FE602B">
        <w:rPr>
          <w:rFonts w:ascii="Times New Roman" w:hAnsi="Times New Roman"/>
          <w:sz w:val="24"/>
          <w:szCs w:val="24"/>
          <w:lang w:val="de"/>
        </w:rPr>
        <w:t>Eine</w:t>
      </w:r>
      <w:r w:rsidR="0071333D">
        <w:rPr>
          <w:rFonts w:ascii="Times New Roman" w:hAnsi="Times New Roman"/>
          <w:sz w:val="24"/>
          <w:szCs w:val="24"/>
          <w:lang w:val="de"/>
        </w:rPr>
        <w:t xml:space="preserve"> interessante</w:t>
      </w:r>
      <w:r w:rsidR="00FE602B">
        <w:rPr>
          <w:rFonts w:ascii="Times New Roman" w:hAnsi="Times New Roman"/>
          <w:sz w:val="24"/>
          <w:szCs w:val="24"/>
          <w:lang w:val="de"/>
        </w:rPr>
        <w:t xml:space="preserve"> Vers</w:t>
      </w:r>
      <w:r w:rsidR="0071333D">
        <w:rPr>
          <w:rFonts w:ascii="Times New Roman" w:hAnsi="Times New Roman"/>
          <w:sz w:val="24"/>
          <w:szCs w:val="24"/>
          <w:lang w:val="de"/>
        </w:rPr>
        <w:t xml:space="preserve">pannung </w:t>
      </w:r>
      <w:r w:rsidR="00FE602B">
        <w:rPr>
          <w:rFonts w:ascii="Times New Roman" w:hAnsi="Times New Roman"/>
          <w:sz w:val="24"/>
          <w:szCs w:val="24"/>
          <w:lang w:val="de"/>
        </w:rPr>
        <w:t>eignet den</w:t>
      </w:r>
      <w:r w:rsidR="0071333D">
        <w:rPr>
          <w:rFonts w:ascii="Times New Roman" w:hAnsi="Times New Roman"/>
          <w:sz w:val="24"/>
          <w:szCs w:val="24"/>
          <w:lang w:val="de"/>
        </w:rPr>
        <w:t xml:space="preserve"> Beiträge</w:t>
      </w:r>
      <w:r w:rsidR="00FE602B">
        <w:rPr>
          <w:rFonts w:ascii="Times New Roman" w:hAnsi="Times New Roman"/>
          <w:sz w:val="24"/>
          <w:szCs w:val="24"/>
          <w:lang w:val="de"/>
        </w:rPr>
        <w:t>n</w:t>
      </w:r>
      <w:r w:rsidR="0071333D">
        <w:rPr>
          <w:rFonts w:ascii="Times New Roman" w:hAnsi="Times New Roman"/>
          <w:sz w:val="24"/>
          <w:szCs w:val="24"/>
          <w:lang w:val="de"/>
        </w:rPr>
        <w:t xml:space="preserve"> zur „Philosophie des Bildes“</w:t>
      </w:r>
      <w:r w:rsidR="00137831">
        <w:rPr>
          <w:rFonts w:ascii="Times New Roman" w:hAnsi="Times New Roman"/>
          <w:sz w:val="24"/>
          <w:szCs w:val="24"/>
          <w:lang w:val="de"/>
        </w:rPr>
        <w:t xml:space="preserve"> (245-257)</w:t>
      </w:r>
      <w:r w:rsidR="0071333D">
        <w:rPr>
          <w:rFonts w:ascii="Times New Roman" w:hAnsi="Times New Roman"/>
          <w:sz w:val="24"/>
          <w:szCs w:val="24"/>
          <w:lang w:val="de"/>
        </w:rPr>
        <w:t xml:space="preserve"> und </w:t>
      </w:r>
      <w:r w:rsidR="0009475C">
        <w:rPr>
          <w:rFonts w:ascii="Times New Roman" w:hAnsi="Times New Roman"/>
          <w:sz w:val="24"/>
          <w:szCs w:val="24"/>
          <w:lang w:val="de"/>
        </w:rPr>
        <w:t>zur „Kopie“</w:t>
      </w:r>
      <w:r w:rsidR="00137831">
        <w:rPr>
          <w:rFonts w:ascii="Times New Roman" w:hAnsi="Times New Roman"/>
          <w:sz w:val="24"/>
          <w:szCs w:val="24"/>
          <w:lang w:val="de"/>
        </w:rPr>
        <w:t xml:space="preserve"> (303-315)</w:t>
      </w:r>
      <w:r w:rsidR="0009475C">
        <w:rPr>
          <w:rFonts w:ascii="Times New Roman" w:hAnsi="Times New Roman"/>
          <w:sz w:val="24"/>
          <w:szCs w:val="24"/>
          <w:lang w:val="de"/>
        </w:rPr>
        <w:t xml:space="preserve">. </w:t>
      </w:r>
      <w:r w:rsidR="00B0296A">
        <w:rPr>
          <w:rFonts w:ascii="Times New Roman" w:hAnsi="Times New Roman"/>
          <w:sz w:val="24"/>
          <w:szCs w:val="24"/>
          <w:lang w:val="de"/>
        </w:rPr>
        <w:t xml:space="preserve">Eine ‚eigentliche Wirklichkeit‘ nur zu kopieren, war der Generaleinwand, den Platon gegen die </w:t>
      </w:r>
      <w:proofErr w:type="spellStart"/>
      <w:r w:rsidR="00B0296A">
        <w:rPr>
          <w:rFonts w:ascii="Times New Roman" w:hAnsi="Times New Roman"/>
          <w:sz w:val="24"/>
          <w:szCs w:val="24"/>
          <w:lang w:val="de"/>
        </w:rPr>
        <w:t>Mimeten</w:t>
      </w:r>
      <w:proofErr w:type="spellEnd"/>
      <w:r w:rsidR="00B0296A">
        <w:rPr>
          <w:rFonts w:ascii="Times New Roman" w:hAnsi="Times New Roman"/>
          <w:sz w:val="24"/>
          <w:szCs w:val="24"/>
          <w:lang w:val="de"/>
        </w:rPr>
        <w:t xml:space="preserve"> erhoben hat (s.o.). </w:t>
      </w:r>
      <w:r w:rsidR="00FE602B">
        <w:rPr>
          <w:rFonts w:ascii="Times New Roman" w:hAnsi="Times New Roman"/>
          <w:sz w:val="24"/>
          <w:szCs w:val="24"/>
          <w:lang w:val="de"/>
        </w:rPr>
        <w:t>Das restriktiv-</w:t>
      </w:r>
      <w:proofErr w:type="spellStart"/>
      <w:r w:rsidR="00FE602B">
        <w:rPr>
          <w:rFonts w:ascii="Times New Roman" w:hAnsi="Times New Roman"/>
          <w:sz w:val="24"/>
          <w:szCs w:val="24"/>
          <w:lang w:val="de"/>
        </w:rPr>
        <w:t>ikonophobe</w:t>
      </w:r>
      <w:proofErr w:type="spellEnd"/>
      <w:r w:rsidR="00FE602B">
        <w:rPr>
          <w:rFonts w:ascii="Times New Roman" w:hAnsi="Times New Roman"/>
          <w:sz w:val="24"/>
          <w:szCs w:val="24"/>
          <w:lang w:val="de"/>
        </w:rPr>
        <w:t xml:space="preserve"> Philosophem, da</w:t>
      </w:r>
      <w:r w:rsidR="003C373D">
        <w:rPr>
          <w:rFonts w:ascii="Times New Roman" w:hAnsi="Times New Roman"/>
          <w:sz w:val="24"/>
          <w:szCs w:val="24"/>
          <w:lang w:val="de"/>
        </w:rPr>
        <w:t>ss</w:t>
      </w:r>
      <w:r w:rsidR="00FE602B">
        <w:rPr>
          <w:rFonts w:ascii="Times New Roman" w:hAnsi="Times New Roman"/>
          <w:sz w:val="24"/>
          <w:szCs w:val="24"/>
          <w:lang w:val="de"/>
        </w:rPr>
        <w:t xml:space="preserve"> </w:t>
      </w:r>
      <w:r w:rsidR="00B0296A">
        <w:rPr>
          <w:rFonts w:ascii="Times New Roman" w:hAnsi="Times New Roman"/>
          <w:sz w:val="24"/>
          <w:szCs w:val="24"/>
          <w:lang w:val="de"/>
        </w:rPr>
        <w:t>sich der logische Status eines Bildes darin</w:t>
      </w:r>
      <w:r w:rsidR="00FE602B">
        <w:rPr>
          <w:rFonts w:ascii="Times New Roman" w:hAnsi="Times New Roman"/>
          <w:sz w:val="24"/>
          <w:szCs w:val="24"/>
          <w:lang w:val="de"/>
        </w:rPr>
        <w:t xml:space="preserve"> erschöpfe</w:t>
      </w:r>
      <w:r w:rsidR="00B0296A">
        <w:rPr>
          <w:rFonts w:ascii="Times New Roman" w:hAnsi="Times New Roman"/>
          <w:sz w:val="24"/>
          <w:szCs w:val="24"/>
          <w:lang w:val="de"/>
        </w:rPr>
        <w:t>, Kopie im Sinne einer bloßen Verdoppelung bzw. bloße</w:t>
      </w:r>
      <w:r w:rsidR="00FE602B">
        <w:rPr>
          <w:rFonts w:ascii="Times New Roman" w:hAnsi="Times New Roman"/>
          <w:sz w:val="24"/>
          <w:szCs w:val="24"/>
          <w:lang w:val="de"/>
        </w:rPr>
        <w:t>s</w:t>
      </w:r>
      <w:r w:rsidR="00B0296A">
        <w:rPr>
          <w:rFonts w:ascii="Times New Roman" w:hAnsi="Times New Roman"/>
          <w:sz w:val="24"/>
          <w:szCs w:val="24"/>
          <w:lang w:val="de"/>
        </w:rPr>
        <w:t xml:space="preserve"> Abbild eines Sachverhaltes </w:t>
      </w:r>
      <w:r w:rsidR="00FE602B">
        <w:rPr>
          <w:rFonts w:ascii="Times New Roman" w:hAnsi="Times New Roman"/>
          <w:sz w:val="24"/>
          <w:szCs w:val="24"/>
          <w:lang w:val="de"/>
        </w:rPr>
        <w:t>zu sein</w:t>
      </w:r>
      <w:r w:rsidR="00B0296A">
        <w:rPr>
          <w:rFonts w:ascii="Times New Roman" w:hAnsi="Times New Roman"/>
          <w:sz w:val="24"/>
          <w:szCs w:val="24"/>
          <w:lang w:val="de"/>
        </w:rPr>
        <w:t>, der sich qua Theorie besser oder überhaupt nur in reiner Weise dingfest machen läßt</w:t>
      </w:r>
      <w:r w:rsidR="00FE602B">
        <w:rPr>
          <w:rFonts w:ascii="Times New Roman" w:hAnsi="Times New Roman"/>
          <w:sz w:val="24"/>
          <w:szCs w:val="24"/>
          <w:lang w:val="de"/>
        </w:rPr>
        <w:t>, wird widerlegt</w:t>
      </w:r>
      <w:r w:rsidR="00B0296A">
        <w:rPr>
          <w:rFonts w:ascii="Times New Roman" w:hAnsi="Times New Roman"/>
          <w:sz w:val="24"/>
          <w:szCs w:val="24"/>
          <w:lang w:val="de"/>
        </w:rPr>
        <w:t xml:space="preserve">. Diese Widerlegung gehört </w:t>
      </w:r>
      <w:r w:rsidR="006C4F62">
        <w:rPr>
          <w:rFonts w:ascii="Times New Roman" w:hAnsi="Times New Roman"/>
          <w:sz w:val="24"/>
          <w:szCs w:val="24"/>
          <w:lang w:val="de"/>
        </w:rPr>
        <w:t xml:space="preserve">– wie die </w:t>
      </w:r>
      <w:proofErr w:type="spellStart"/>
      <w:r w:rsidR="006C4F62">
        <w:rPr>
          <w:rFonts w:ascii="Times New Roman" w:hAnsi="Times New Roman"/>
          <w:sz w:val="24"/>
          <w:szCs w:val="24"/>
          <w:lang w:val="de"/>
        </w:rPr>
        <w:t>Ikonoklasmen</w:t>
      </w:r>
      <w:proofErr w:type="spellEnd"/>
      <w:r w:rsidR="006C4F62">
        <w:rPr>
          <w:rFonts w:ascii="Times New Roman" w:hAnsi="Times New Roman"/>
          <w:sz w:val="24"/>
          <w:szCs w:val="24"/>
          <w:lang w:val="de"/>
        </w:rPr>
        <w:t xml:space="preserve"> und die Kunstfeindlichkeit, die </w:t>
      </w:r>
      <w:r w:rsidR="00FE602B">
        <w:rPr>
          <w:rFonts w:ascii="Times New Roman" w:hAnsi="Times New Roman"/>
          <w:sz w:val="24"/>
          <w:szCs w:val="24"/>
          <w:lang w:val="de"/>
        </w:rPr>
        <w:t xml:space="preserve">dem erwähnten Philosophem folgen und </w:t>
      </w:r>
      <w:r w:rsidR="006C4F62">
        <w:rPr>
          <w:rFonts w:ascii="Times New Roman" w:hAnsi="Times New Roman"/>
          <w:sz w:val="24"/>
          <w:szCs w:val="24"/>
          <w:lang w:val="de"/>
        </w:rPr>
        <w:t>sich in Schüben bis in die Gegenwart fortsetzen – in den Themenbereich „Rezeption / Interpretation“. Im Handbuch leitet sie zu seinem Teil „III. Rezeption / Interpretation“ über. Er ist der umfangreichste in ihm. Und dies aus gutem Grund – denn hier folgen die Beiträge zu „Schönheit“, „</w:t>
      </w:r>
      <w:proofErr w:type="spellStart"/>
      <w:r w:rsidR="006C4F62">
        <w:rPr>
          <w:rFonts w:ascii="Times New Roman" w:hAnsi="Times New Roman"/>
          <w:sz w:val="24"/>
          <w:szCs w:val="24"/>
          <w:lang w:val="de"/>
        </w:rPr>
        <w:t>Aisthesis</w:t>
      </w:r>
      <w:proofErr w:type="spellEnd"/>
      <w:r w:rsidR="006C4F62">
        <w:rPr>
          <w:rFonts w:ascii="Times New Roman" w:hAnsi="Times New Roman"/>
          <w:sz w:val="24"/>
          <w:szCs w:val="24"/>
          <w:lang w:val="de"/>
        </w:rPr>
        <w:t>“, „Ästhetische Erfahrung“, „Ästhetische Evidenz“, „Ästhetische Wahrheit“, „Reflexion“, „Affekt“, „Geschmack“, „Präsenz“, „Fiktion“</w:t>
      </w:r>
      <w:r w:rsidR="00D124F0">
        <w:rPr>
          <w:rFonts w:ascii="Times New Roman" w:hAnsi="Times New Roman"/>
          <w:sz w:val="24"/>
          <w:szCs w:val="24"/>
          <w:lang w:val="de"/>
        </w:rPr>
        <w:t>, „Sehen“, „Hören“, „Wissen“, „Kritik“ und „Kunst(</w:t>
      </w:r>
      <w:proofErr w:type="spellStart"/>
      <w:r w:rsidR="00D124F0">
        <w:rPr>
          <w:rFonts w:ascii="Times New Roman" w:hAnsi="Times New Roman"/>
          <w:sz w:val="24"/>
          <w:szCs w:val="24"/>
          <w:lang w:val="de"/>
        </w:rPr>
        <w:t>philosophie</w:t>
      </w:r>
      <w:proofErr w:type="spellEnd"/>
      <w:r w:rsidR="00D124F0">
        <w:rPr>
          <w:rFonts w:ascii="Times New Roman" w:hAnsi="Times New Roman"/>
          <w:sz w:val="24"/>
          <w:szCs w:val="24"/>
          <w:lang w:val="de"/>
        </w:rPr>
        <w:t>) und (</w:t>
      </w:r>
      <w:proofErr w:type="spellStart"/>
      <w:r w:rsidR="00D124F0">
        <w:rPr>
          <w:rFonts w:ascii="Times New Roman" w:hAnsi="Times New Roman"/>
          <w:sz w:val="24"/>
          <w:szCs w:val="24"/>
          <w:lang w:val="de"/>
        </w:rPr>
        <w:t>post</w:t>
      </w:r>
      <w:proofErr w:type="spellEnd"/>
      <w:r w:rsidR="00D124F0">
        <w:rPr>
          <w:rFonts w:ascii="Times New Roman" w:hAnsi="Times New Roman"/>
          <w:sz w:val="24"/>
          <w:szCs w:val="24"/>
          <w:lang w:val="de"/>
        </w:rPr>
        <w:t xml:space="preserve">)koloniale Kritik“ sozusagen dichtgedrängt aufeinander. Mag sein, daß es ein Zufall ist, wenn die Beiträge zu „Schönheit, </w:t>
      </w:r>
      <w:proofErr w:type="spellStart"/>
      <w:r w:rsidR="00D124F0">
        <w:rPr>
          <w:rFonts w:ascii="Times New Roman" w:hAnsi="Times New Roman"/>
          <w:sz w:val="24"/>
          <w:szCs w:val="24"/>
          <w:lang w:val="de"/>
        </w:rPr>
        <w:t>Aisthesis</w:t>
      </w:r>
      <w:proofErr w:type="spellEnd"/>
      <w:r w:rsidR="00D124F0">
        <w:rPr>
          <w:rFonts w:ascii="Times New Roman" w:hAnsi="Times New Roman"/>
          <w:sz w:val="24"/>
          <w:szCs w:val="24"/>
          <w:lang w:val="de"/>
        </w:rPr>
        <w:t xml:space="preserve">, Ästhetische Erfahrung, Ästhetische Evidenz, Ästhetische Wahrheit“ </w:t>
      </w:r>
      <w:r w:rsidR="00137831">
        <w:rPr>
          <w:rFonts w:ascii="Times New Roman" w:hAnsi="Times New Roman"/>
          <w:sz w:val="24"/>
          <w:szCs w:val="24"/>
          <w:lang w:val="de"/>
        </w:rPr>
        <w:t xml:space="preserve">(319-399) </w:t>
      </w:r>
      <w:r w:rsidR="00D124F0">
        <w:rPr>
          <w:rFonts w:ascii="Times New Roman" w:hAnsi="Times New Roman"/>
          <w:sz w:val="24"/>
          <w:szCs w:val="24"/>
          <w:lang w:val="de"/>
        </w:rPr>
        <w:t xml:space="preserve">vom Gesamtumfang des Handbuchs </w:t>
      </w:r>
      <w:r w:rsidR="00137831">
        <w:rPr>
          <w:rFonts w:ascii="Times New Roman" w:hAnsi="Times New Roman"/>
          <w:sz w:val="24"/>
          <w:szCs w:val="24"/>
          <w:lang w:val="de"/>
        </w:rPr>
        <w:t xml:space="preserve">her </w:t>
      </w:r>
      <w:r w:rsidR="00D124F0">
        <w:rPr>
          <w:rFonts w:ascii="Times New Roman" w:hAnsi="Times New Roman"/>
          <w:sz w:val="24"/>
          <w:szCs w:val="24"/>
          <w:lang w:val="de"/>
        </w:rPr>
        <w:t xml:space="preserve">sich um dessen Mitte gruppieren. Aber nicht nur eingedenk der Bestimmung, die Kant in der </w:t>
      </w:r>
      <w:r w:rsidR="00D124F0" w:rsidRPr="003C373D">
        <w:rPr>
          <w:rFonts w:ascii="Times New Roman" w:hAnsi="Times New Roman"/>
          <w:i/>
          <w:sz w:val="24"/>
          <w:szCs w:val="24"/>
          <w:lang w:val="de"/>
        </w:rPr>
        <w:t>Kritik der Urteilskraft</w:t>
      </w:r>
      <w:r w:rsidR="00D124F0">
        <w:rPr>
          <w:rFonts w:ascii="Times New Roman" w:hAnsi="Times New Roman"/>
          <w:sz w:val="24"/>
          <w:szCs w:val="24"/>
          <w:lang w:val="de"/>
        </w:rPr>
        <w:t xml:space="preserve"> die „Gesetzlichkeit des Zufälligen Zweckmäßigkeit“ hat nennen lassen, bilden diese Beiträge die logische Mitte des Handbuchs.</w:t>
      </w:r>
      <w:r w:rsidR="00D124F0">
        <w:rPr>
          <w:rStyle w:val="Funotenzeichen"/>
          <w:rFonts w:ascii="Times New Roman" w:hAnsi="Times New Roman"/>
          <w:sz w:val="24"/>
          <w:szCs w:val="24"/>
          <w:lang w:val="de"/>
        </w:rPr>
        <w:footnoteReference w:id="4"/>
      </w:r>
      <w:r w:rsidR="00510615">
        <w:rPr>
          <w:rFonts w:ascii="Times New Roman" w:hAnsi="Times New Roman"/>
          <w:sz w:val="24"/>
          <w:szCs w:val="24"/>
          <w:lang w:val="de"/>
        </w:rPr>
        <w:t xml:space="preserve"> </w:t>
      </w:r>
      <w:r w:rsidR="00FE602B">
        <w:rPr>
          <w:rFonts w:ascii="Times New Roman" w:hAnsi="Times New Roman"/>
          <w:sz w:val="24"/>
          <w:szCs w:val="24"/>
          <w:lang w:val="de"/>
        </w:rPr>
        <w:t>Der zur</w:t>
      </w:r>
      <w:r w:rsidR="00510615">
        <w:rPr>
          <w:rFonts w:ascii="Times New Roman" w:hAnsi="Times New Roman"/>
          <w:sz w:val="24"/>
          <w:szCs w:val="24"/>
          <w:lang w:val="de"/>
        </w:rPr>
        <w:t xml:space="preserve"> „Schönheit“ </w:t>
      </w:r>
      <w:r w:rsidR="00FE602B">
        <w:rPr>
          <w:rFonts w:ascii="Times New Roman" w:hAnsi="Times New Roman"/>
          <w:sz w:val="24"/>
          <w:szCs w:val="24"/>
          <w:lang w:val="de"/>
        </w:rPr>
        <w:t xml:space="preserve">beginnt </w:t>
      </w:r>
      <w:r w:rsidR="00510615">
        <w:rPr>
          <w:rFonts w:ascii="Times New Roman" w:hAnsi="Times New Roman"/>
          <w:sz w:val="24"/>
          <w:szCs w:val="24"/>
          <w:lang w:val="de"/>
        </w:rPr>
        <w:t xml:space="preserve">mit der „Frage, was ein Artikel über Schönheit in Zeiten der ›nicht-mehr-schönen-Künste‹ in einem »Handbuch Kunstphilosophie« zu suchen hat </w:t>
      </w:r>
      <w:r w:rsidR="003C373D">
        <w:rPr>
          <w:rFonts w:ascii="Times New Roman" w:hAnsi="Times New Roman"/>
          <w:sz w:val="24"/>
          <w:szCs w:val="24"/>
          <w:lang w:val="de"/>
        </w:rPr>
        <w:t>[…]</w:t>
      </w:r>
      <w:r w:rsidR="00510615">
        <w:rPr>
          <w:rFonts w:ascii="Times New Roman" w:hAnsi="Times New Roman"/>
          <w:sz w:val="24"/>
          <w:szCs w:val="24"/>
          <w:lang w:val="de"/>
        </w:rPr>
        <w:t xml:space="preserve">“ und </w:t>
      </w:r>
      <w:r w:rsidR="006038F3">
        <w:rPr>
          <w:rFonts w:ascii="Times New Roman" w:hAnsi="Times New Roman"/>
          <w:sz w:val="24"/>
          <w:szCs w:val="24"/>
          <w:lang w:val="de"/>
        </w:rPr>
        <w:t>nimmt sich vor, „</w:t>
      </w:r>
      <w:r w:rsidR="00510615">
        <w:rPr>
          <w:rFonts w:ascii="Times New Roman" w:hAnsi="Times New Roman"/>
          <w:sz w:val="24"/>
          <w:szCs w:val="24"/>
          <w:lang w:val="de"/>
        </w:rPr>
        <w:t>mit einem kritischen Überblick und einem weiterführenden Ansatz der Beantwortung der Frage, was es heißt von »Schönheit« zu sprechen</w:t>
      </w:r>
      <w:r w:rsidR="006038F3">
        <w:rPr>
          <w:rFonts w:ascii="Times New Roman" w:hAnsi="Times New Roman"/>
          <w:sz w:val="24"/>
          <w:szCs w:val="24"/>
          <w:lang w:val="de"/>
        </w:rPr>
        <w:t xml:space="preserve">, näherzukommen.“ (319) </w:t>
      </w:r>
      <w:r w:rsidR="00FE602B">
        <w:rPr>
          <w:rFonts w:ascii="Times New Roman" w:hAnsi="Times New Roman"/>
          <w:sz w:val="24"/>
          <w:szCs w:val="24"/>
          <w:lang w:val="de"/>
        </w:rPr>
        <w:t xml:space="preserve">Zu diesem Überblick </w:t>
      </w:r>
      <w:r w:rsidR="00221635">
        <w:rPr>
          <w:rFonts w:ascii="Times New Roman" w:hAnsi="Times New Roman"/>
          <w:sz w:val="24"/>
          <w:szCs w:val="24"/>
          <w:lang w:val="de"/>
        </w:rPr>
        <w:t>gehören Abschnitte zur</w:t>
      </w:r>
      <w:r w:rsidR="00DA60A0">
        <w:rPr>
          <w:rFonts w:ascii="Times New Roman" w:hAnsi="Times New Roman"/>
          <w:sz w:val="24"/>
          <w:szCs w:val="24"/>
          <w:lang w:val="de"/>
        </w:rPr>
        <w:t xml:space="preserve"> „Metaphysischen Dimension der Schönheit“ und zu „Schönheit und Wohlgefallen“</w:t>
      </w:r>
      <w:r w:rsidR="00D34A85">
        <w:rPr>
          <w:rFonts w:ascii="Times New Roman" w:hAnsi="Times New Roman"/>
          <w:sz w:val="24"/>
          <w:szCs w:val="24"/>
          <w:lang w:val="de"/>
        </w:rPr>
        <w:t xml:space="preserve"> </w:t>
      </w:r>
      <w:r w:rsidR="00221635">
        <w:rPr>
          <w:rFonts w:ascii="Times New Roman" w:hAnsi="Times New Roman"/>
          <w:sz w:val="24"/>
          <w:szCs w:val="24"/>
          <w:lang w:val="de"/>
        </w:rPr>
        <w:t>ebenso wie, über d</w:t>
      </w:r>
      <w:r w:rsidR="00D34A85">
        <w:rPr>
          <w:rFonts w:ascii="Times New Roman" w:hAnsi="Times New Roman"/>
          <w:sz w:val="24"/>
          <w:szCs w:val="24"/>
          <w:lang w:val="de"/>
        </w:rPr>
        <w:t xml:space="preserve">as von Siegfried Kracauer formulierte Stichwort der ‚Nicht-mehr-schönen-Künste‘ </w:t>
      </w:r>
      <w:r w:rsidR="00221635">
        <w:rPr>
          <w:rFonts w:ascii="Times New Roman" w:hAnsi="Times New Roman"/>
          <w:sz w:val="24"/>
          <w:szCs w:val="24"/>
          <w:lang w:val="de"/>
        </w:rPr>
        <w:t>vermittelt, die</w:t>
      </w:r>
      <w:r w:rsidR="00D34A85">
        <w:rPr>
          <w:rFonts w:ascii="Times New Roman" w:hAnsi="Times New Roman"/>
          <w:sz w:val="24"/>
          <w:szCs w:val="24"/>
          <w:lang w:val="de"/>
        </w:rPr>
        <w:t xml:space="preserve"> Einbeziehung </w:t>
      </w:r>
      <w:r w:rsidR="00221635">
        <w:rPr>
          <w:rFonts w:ascii="Times New Roman" w:hAnsi="Times New Roman"/>
          <w:sz w:val="24"/>
          <w:szCs w:val="24"/>
          <w:lang w:val="de"/>
        </w:rPr>
        <w:t>von</w:t>
      </w:r>
      <w:r w:rsidR="00D34A85">
        <w:rPr>
          <w:rFonts w:ascii="Times New Roman" w:hAnsi="Times New Roman"/>
          <w:sz w:val="24"/>
          <w:szCs w:val="24"/>
          <w:lang w:val="de"/>
        </w:rPr>
        <w:t xml:space="preserve"> „Hässlichkeit“</w:t>
      </w:r>
      <w:r w:rsidR="00221635">
        <w:rPr>
          <w:rFonts w:ascii="Times New Roman" w:hAnsi="Times New Roman"/>
          <w:sz w:val="24"/>
          <w:szCs w:val="24"/>
          <w:lang w:val="de"/>
        </w:rPr>
        <w:t xml:space="preserve"> und </w:t>
      </w:r>
      <w:r w:rsidR="00D34A85">
        <w:rPr>
          <w:rFonts w:ascii="Times New Roman" w:hAnsi="Times New Roman"/>
          <w:sz w:val="24"/>
          <w:szCs w:val="24"/>
          <w:lang w:val="de"/>
        </w:rPr>
        <w:t>„Kitsch“</w:t>
      </w:r>
      <w:r w:rsidR="00221635">
        <w:rPr>
          <w:rFonts w:ascii="Times New Roman" w:hAnsi="Times New Roman"/>
          <w:sz w:val="24"/>
          <w:szCs w:val="24"/>
          <w:lang w:val="de"/>
        </w:rPr>
        <w:t xml:space="preserve"> (vgl. 327-333).</w:t>
      </w:r>
      <w:r w:rsidR="00AE395B">
        <w:rPr>
          <w:rFonts w:ascii="Times New Roman" w:hAnsi="Times New Roman"/>
          <w:sz w:val="24"/>
          <w:szCs w:val="24"/>
          <w:lang w:val="de"/>
        </w:rPr>
        <w:t xml:space="preserve"> Gleichsam als Fazit zur Frage, was es heißt, von Schönheit zu sprechen, erscheint </w:t>
      </w:r>
      <w:r w:rsidR="00137831">
        <w:rPr>
          <w:rFonts w:ascii="Times New Roman" w:hAnsi="Times New Roman"/>
          <w:sz w:val="24"/>
          <w:szCs w:val="24"/>
          <w:lang w:val="de"/>
        </w:rPr>
        <w:t xml:space="preserve">339 </w:t>
      </w:r>
      <w:r w:rsidR="00AE395B">
        <w:rPr>
          <w:rFonts w:ascii="Times New Roman" w:hAnsi="Times New Roman"/>
          <w:sz w:val="24"/>
          <w:szCs w:val="24"/>
          <w:lang w:val="de"/>
        </w:rPr>
        <w:t xml:space="preserve">das </w:t>
      </w:r>
      <w:r w:rsidR="00AE395B">
        <w:rPr>
          <w:rFonts w:ascii="Times New Roman" w:hAnsi="Times New Roman"/>
          <w:sz w:val="24"/>
          <w:szCs w:val="24"/>
          <w:lang w:val="de"/>
        </w:rPr>
        <w:lastRenderedPageBreak/>
        <w:t>„Je-ne-sais-</w:t>
      </w:r>
      <w:proofErr w:type="spellStart"/>
      <w:r w:rsidR="00AE395B">
        <w:rPr>
          <w:rFonts w:ascii="Times New Roman" w:hAnsi="Times New Roman"/>
          <w:sz w:val="24"/>
          <w:szCs w:val="24"/>
          <w:lang w:val="de"/>
        </w:rPr>
        <w:t>quoi</w:t>
      </w:r>
      <w:proofErr w:type="spellEnd"/>
      <w:r w:rsidR="00AE395B">
        <w:rPr>
          <w:rFonts w:ascii="Times New Roman" w:hAnsi="Times New Roman"/>
          <w:sz w:val="24"/>
          <w:szCs w:val="24"/>
          <w:lang w:val="de"/>
        </w:rPr>
        <w:t>“, mit dem Leibniz ein von Augustinus‘ „</w:t>
      </w:r>
      <w:proofErr w:type="spellStart"/>
      <w:r w:rsidR="00AE395B">
        <w:rPr>
          <w:rFonts w:ascii="Times New Roman" w:hAnsi="Times New Roman"/>
          <w:sz w:val="24"/>
          <w:szCs w:val="24"/>
          <w:lang w:val="de"/>
        </w:rPr>
        <w:t>nescio</w:t>
      </w:r>
      <w:proofErr w:type="spellEnd"/>
      <w:r w:rsidR="00AE395B">
        <w:rPr>
          <w:rFonts w:ascii="Times New Roman" w:hAnsi="Times New Roman"/>
          <w:sz w:val="24"/>
          <w:szCs w:val="24"/>
          <w:lang w:val="de"/>
        </w:rPr>
        <w:t xml:space="preserve"> </w:t>
      </w:r>
      <w:proofErr w:type="spellStart"/>
      <w:r w:rsidR="00AE395B">
        <w:rPr>
          <w:rFonts w:ascii="Times New Roman" w:hAnsi="Times New Roman"/>
          <w:sz w:val="24"/>
          <w:szCs w:val="24"/>
          <w:lang w:val="de"/>
        </w:rPr>
        <w:t>quid</w:t>
      </w:r>
      <w:proofErr w:type="spellEnd"/>
      <w:r w:rsidR="00AE395B">
        <w:rPr>
          <w:rFonts w:ascii="Times New Roman" w:hAnsi="Times New Roman"/>
          <w:sz w:val="24"/>
          <w:szCs w:val="24"/>
          <w:lang w:val="de"/>
        </w:rPr>
        <w:t>“ herrührendes Denkmotiv rekapituliert hat.</w:t>
      </w:r>
      <w:r w:rsidR="00A82162">
        <w:rPr>
          <w:rFonts w:ascii="Times New Roman" w:hAnsi="Times New Roman"/>
          <w:sz w:val="24"/>
          <w:szCs w:val="24"/>
          <w:lang w:val="de"/>
        </w:rPr>
        <w:t xml:space="preserve"> De</w:t>
      </w:r>
      <w:r w:rsidR="00221635">
        <w:rPr>
          <w:rFonts w:ascii="Times New Roman" w:hAnsi="Times New Roman"/>
          <w:sz w:val="24"/>
          <w:szCs w:val="24"/>
          <w:lang w:val="de"/>
        </w:rPr>
        <w:t>r</w:t>
      </w:r>
      <w:r w:rsidR="00A82162">
        <w:rPr>
          <w:rFonts w:ascii="Times New Roman" w:hAnsi="Times New Roman"/>
          <w:sz w:val="24"/>
          <w:szCs w:val="24"/>
          <w:lang w:val="de"/>
        </w:rPr>
        <w:t xml:space="preserve"> Beitrag zur „</w:t>
      </w:r>
      <w:proofErr w:type="spellStart"/>
      <w:r w:rsidR="00A82162">
        <w:rPr>
          <w:rFonts w:ascii="Times New Roman" w:hAnsi="Times New Roman"/>
          <w:sz w:val="24"/>
          <w:szCs w:val="24"/>
          <w:lang w:val="de"/>
        </w:rPr>
        <w:t>Aisthesis</w:t>
      </w:r>
      <w:proofErr w:type="spellEnd"/>
      <w:r w:rsidR="00A82162">
        <w:rPr>
          <w:rFonts w:ascii="Times New Roman" w:hAnsi="Times New Roman"/>
          <w:sz w:val="24"/>
          <w:szCs w:val="24"/>
          <w:lang w:val="de"/>
        </w:rPr>
        <w:t xml:space="preserve">“ </w:t>
      </w:r>
      <w:r w:rsidR="00221635">
        <w:rPr>
          <w:rFonts w:ascii="Times New Roman" w:hAnsi="Times New Roman"/>
          <w:sz w:val="24"/>
          <w:szCs w:val="24"/>
          <w:lang w:val="de"/>
        </w:rPr>
        <w:t>arrondiert mit einem</w:t>
      </w:r>
      <w:r w:rsidR="00A82162">
        <w:rPr>
          <w:rFonts w:ascii="Times New Roman" w:hAnsi="Times New Roman"/>
          <w:sz w:val="24"/>
          <w:szCs w:val="24"/>
          <w:lang w:val="de"/>
        </w:rPr>
        <w:t xml:space="preserve"> „Historisch-philosophische</w:t>
      </w:r>
      <w:r w:rsidR="003C373D">
        <w:rPr>
          <w:rFonts w:ascii="Times New Roman" w:hAnsi="Times New Roman"/>
          <w:sz w:val="24"/>
          <w:szCs w:val="24"/>
          <w:lang w:val="de"/>
        </w:rPr>
        <w:t>[n]</w:t>
      </w:r>
      <w:r w:rsidR="00A82162">
        <w:rPr>
          <w:rFonts w:ascii="Times New Roman" w:hAnsi="Times New Roman"/>
          <w:sz w:val="24"/>
          <w:szCs w:val="24"/>
          <w:lang w:val="de"/>
        </w:rPr>
        <w:t>“ und ein</w:t>
      </w:r>
      <w:r w:rsidR="00221635">
        <w:rPr>
          <w:rFonts w:ascii="Times New Roman" w:hAnsi="Times New Roman"/>
          <w:sz w:val="24"/>
          <w:szCs w:val="24"/>
          <w:lang w:val="de"/>
        </w:rPr>
        <w:t>em</w:t>
      </w:r>
      <w:r w:rsidR="00A82162">
        <w:rPr>
          <w:rFonts w:ascii="Times New Roman" w:hAnsi="Times New Roman"/>
          <w:sz w:val="24"/>
          <w:szCs w:val="24"/>
          <w:lang w:val="de"/>
        </w:rPr>
        <w:t xml:space="preserve"> „Systematische</w:t>
      </w:r>
      <w:r w:rsidR="003C373D">
        <w:rPr>
          <w:rFonts w:ascii="Times New Roman" w:hAnsi="Times New Roman"/>
          <w:sz w:val="24"/>
          <w:szCs w:val="24"/>
          <w:lang w:val="de"/>
        </w:rPr>
        <w:t>[n]</w:t>
      </w:r>
      <w:r w:rsidR="00A82162">
        <w:rPr>
          <w:rFonts w:ascii="Times New Roman" w:hAnsi="Times New Roman"/>
          <w:sz w:val="24"/>
          <w:szCs w:val="24"/>
          <w:lang w:val="de"/>
        </w:rPr>
        <w:t xml:space="preserve"> Abriss“ Deweys </w:t>
      </w:r>
      <w:r w:rsidR="00221635">
        <w:rPr>
          <w:rFonts w:ascii="Times New Roman" w:hAnsi="Times New Roman"/>
          <w:sz w:val="24"/>
          <w:szCs w:val="24"/>
          <w:lang w:val="de"/>
        </w:rPr>
        <w:t>These</w:t>
      </w:r>
      <w:r w:rsidR="00A82162">
        <w:rPr>
          <w:rFonts w:ascii="Times New Roman" w:hAnsi="Times New Roman"/>
          <w:sz w:val="24"/>
          <w:szCs w:val="24"/>
          <w:lang w:val="de"/>
        </w:rPr>
        <w:t>: „[</w:t>
      </w:r>
      <w:proofErr w:type="spellStart"/>
      <w:r w:rsidR="00A82162">
        <w:rPr>
          <w:rFonts w:ascii="Times New Roman" w:hAnsi="Times New Roman"/>
          <w:sz w:val="24"/>
          <w:szCs w:val="24"/>
          <w:lang w:val="de"/>
        </w:rPr>
        <w:t>esthetic</w:t>
      </w:r>
      <w:proofErr w:type="spellEnd"/>
      <w:r w:rsidR="00A82162">
        <w:rPr>
          <w:rFonts w:ascii="Times New Roman" w:hAnsi="Times New Roman"/>
          <w:sz w:val="24"/>
          <w:szCs w:val="24"/>
          <w:lang w:val="de"/>
        </w:rPr>
        <w:t xml:space="preserve">] </w:t>
      </w:r>
      <w:proofErr w:type="spellStart"/>
      <w:r w:rsidR="00A82162">
        <w:rPr>
          <w:rFonts w:ascii="Times New Roman" w:hAnsi="Times New Roman"/>
          <w:sz w:val="24"/>
          <w:szCs w:val="24"/>
          <w:lang w:val="de"/>
        </w:rPr>
        <w:t>experience</w:t>
      </w:r>
      <w:proofErr w:type="spellEnd"/>
      <w:r w:rsidR="00A82162">
        <w:rPr>
          <w:rFonts w:ascii="Times New Roman" w:hAnsi="Times New Roman"/>
          <w:sz w:val="24"/>
          <w:szCs w:val="24"/>
          <w:lang w:val="de"/>
        </w:rPr>
        <w:t xml:space="preserve"> </w:t>
      </w:r>
      <w:proofErr w:type="spellStart"/>
      <w:r w:rsidR="006017CE">
        <w:rPr>
          <w:rFonts w:ascii="Times New Roman" w:hAnsi="Times New Roman"/>
          <w:sz w:val="24"/>
          <w:szCs w:val="24"/>
          <w:lang w:val="de"/>
        </w:rPr>
        <w:t>is</w:t>
      </w:r>
      <w:proofErr w:type="spellEnd"/>
      <w:r w:rsidR="006017CE">
        <w:rPr>
          <w:rFonts w:ascii="Times New Roman" w:hAnsi="Times New Roman"/>
          <w:sz w:val="24"/>
          <w:szCs w:val="24"/>
          <w:lang w:val="de"/>
        </w:rPr>
        <w:t xml:space="preserve"> a </w:t>
      </w:r>
      <w:proofErr w:type="spellStart"/>
      <w:r w:rsidR="006017CE">
        <w:rPr>
          <w:rFonts w:ascii="Times New Roman" w:hAnsi="Times New Roman"/>
          <w:sz w:val="24"/>
          <w:szCs w:val="24"/>
          <w:lang w:val="de"/>
        </w:rPr>
        <w:t>precondition</w:t>
      </w:r>
      <w:proofErr w:type="spellEnd"/>
      <w:r w:rsidR="006017CE">
        <w:rPr>
          <w:rFonts w:ascii="Times New Roman" w:hAnsi="Times New Roman"/>
          <w:sz w:val="24"/>
          <w:szCs w:val="24"/>
          <w:lang w:val="de"/>
        </w:rPr>
        <w:t xml:space="preserve"> </w:t>
      </w:r>
      <w:proofErr w:type="spellStart"/>
      <w:r w:rsidR="006017CE">
        <w:rPr>
          <w:rFonts w:ascii="Times New Roman" w:hAnsi="Times New Roman"/>
          <w:sz w:val="24"/>
          <w:szCs w:val="24"/>
          <w:lang w:val="de"/>
        </w:rPr>
        <w:t>of</w:t>
      </w:r>
      <w:proofErr w:type="spellEnd"/>
      <w:r w:rsidR="006017CE">
        <w:rPr>
          <w:rFonts w:ascii="Times New Roman" w:hAnsi="Times New Roman"/>
          <w:sz w:val="24"/>
          <w:szCs w:val="24"/>
          <w:lang w:val="de"/>
        </w:rPr>
        <w:t xml:space="preserve"> a </w:t>
      </w:r>
      <w:proofErr w:type="spellStart"/>
      <w:r w:rsidR="006017CE">
        <w:rPr>
          <w:rFonts w:ascii="Times New Roman" w:hAnsi="Times New Roman"/>
          <w:sz w:val="24"/>
          <w:szCs w:val="24"/>
          <w:lang w:val="de"/>
        </w:rPr>
        <w:t>universe</w:t>
      </w:r>
      <w:proofErr w:type="spellEnd"/>
      <w:r w:rsidR="006017CE">
        <w:rPr>
          <w:rFonts w:ascii="Times New Roman" w:hAnsi="Times New Roman"/>
          <w:sz w:val="24"/>
          <w:szCs w:val="24"/>
          <w:lang w:val="de"/>
        </w:rPr>
        <w:t xml:space="preserve"> </w:t>
      </w:r>
      <w:proofErr w:type="spellStart"/>
      <w:r w:rsidR="006017CE">
        <w:rPr>
          <w:rFonts w:ascii="Times New Roman" w:hAnsi="Times New Roman"/>
          <w:sz w:val="24"/>
          <w:szCs w:val="24"/>
          <w:lang w:val="de"/>
        </w:rPr>
        <w:t>of</w:t>
      </w:r>
      <w:proofErr w:type="spellEnd"/>
      <w:r w:rsidR="006017CE">
        <w:rPr>
          <w:rFonts w:ascii="Times New Roman" w:hAnsi="Times New Roman"/>
          <w:sz w:val="24"/>
          <w:szCs w:val="24"/>
          <w:lang w:val="de"/>
        </w:rPr>
        <w:t xml:space="preserve"> </w:t>
      </w:r>
      <w:proofErr w:type="spellStart"/>
      <w:r w:rsidR="006017CE">
        <w:rPr>
          <w:rFonts w:ascii="Times New Roman" w:hAnsi="Times New Roman"/>
          <w:sz w:val="24"/>
          <w:szCs w:val="24"/>
          <w:lang w:val="de"/>
        </w:rPr>
        <w:t>discourse</w:t>
      </w:r>
      <w:proofErr w:type="spellEnd"/>
      <w:r w:rsidR="006017CE">
        <w:rPr>
          <w:rFonts w:ascii="Times New Roman" w:hAnsi="Times New Roman"/>
          <w:sz w:val="24"/>
          <w:szCs w:val="24"/>
          <w:lang w:val="de"/>
        </w:rPr>
        <w:t xml:space="preserve">.“ (354) Diese </w:t>
      </w:r>
      <w:r w:rsidR="00221635">
        <w:rPr>
          <w:rFonts w:ascii="Times New Roman" w:hAnsi="Times New Roman"/>
          <w:sz w:val="24"/>
          <w:szCs w:val="24"/>
          <w:lang w:val="de"/>
        </w:rPr>
        <w:t>basale Einsicht buchstabiert der</w:t>
      </w:r>
      <w:r w:rsidR="006017CE">
        <w:rPr>
          <w:rFonts w:ascii="Times New Roman" w:hAnsi="Times New Roman"/>
          <w:sz w:val="24"/>
          <w:szCs w:val="24"/>
          <w:lang w:val="de"/>
        </w:rPr>
        <w:t xml:space="preserve"> Beitrag „Ästhetische Erfahrung“ aus. </w:t>
      </w:r>
      <w:r w:rsidR="00821F26">
        <w:rPr>
          <w:rFonts w:ascii="Times New Roman" w:hAnsi="Times New Roman"/>
          <w:sz w:val="24"/>
          <w:szCs w:val="24"/>
          <w:lang w:val="de"/>
        </w:rPr>
        <w:t>Die</w:t>
      </w:r>
      <w:r w:rsidR="006017CE">
        <w:rPr>
          <w:rFonts w:ascii="Times New Roman" w:hAnsi="Times New Roman"/>
          <w:sz w:val="24"/>
          <w:szCs w:val="24"/>
          <w:lang w:val="de"/>
        </w:rPr>
        <w:t xml:space="preserve"> (vornehmlich </w:t>
      </w:r>
      <w:proofErr w:type="spellStart"/>
      <w:r w:rsidR="006017CE">
        <w:rPr>
          <w:rFonts w:ascii="Times New Roman" w:hAnsi="Times New Roman"/>
          <w:sz w:val="24"/>
          <w:szCs w:val="24"/>
          <w:lang w:val="de"/>
        </w:rPr>
        <w:t>theoremgeschichtlichen</w:t>
      </w:r>
      <w:proofErr w:type="spellEnd"/>
      <w:r w:rsidR="006017CE">
        <w:rPr>
          <w:rFonts w:ascii="Times New Roman" w:hAnsi="Times New Roman"/>
          <w:sz w:val="24"/>
          <w:szCs w:val="24"/>
          <w:lang w:val="de"/>
        </w:rPr>
        <w:t>) „Kontexte“ der Rede von ästhetischer Erfahrung“, die „Einheit ästhetischer Erfahrung“ (362 ff.) wie die „Vielheit ästhetischer Erfahrungen“</w:t>
      </w:r>
      <w:r w:rsidR="00821F26">
        <w:rPr>
          <w:rFonts w:ascii="Times New Roman" w:hAnsi="Times New Roman"/>
          <w:sz w:val="24"/>
          <w:szCs w:val="24"/>
          <w:lang w:val="de"/>
        </w:rPr>
        <w:t xml:space="preserve"> weisen als</w:t>
      </w:r>
      <w:r w:rsidR="006017CE">
        <w:rPr>
          <w:rFonts w:ascii="Times New Roman" w:hAnsi="Times New Roman"/>
          <w:sz w:val="24"/>
          <w:szCs w:val="24"/>
          <w:lang w:val="de"/>
        </w:rPr>
        <w:t xml:space="preserve"> „Fazit“ </w:t>
      </w:r>
      <w:r w:rsidR="00821F26">
        <w:rPr>
          <w:rFonts w:ascii="Times New Roman" w:hAnsi="Times New Roman"/>
          <w:sz w:val="24"/>
          <w:szCs w:val="24"/>
          <w:lang w:val="de"/>
        </w:rPr>
        <w:t>auf</w:t>
      </w:r>
      <w:r w:rsidR="006017CE">
        <w:rPr>
          <w:rFonts w:ascii="Times New Roman" w:hAnsi="Times New Roman"/>
          <w:sz w:val="24"/>
          <w:szCs w:val="24"/>
          <w:lang w:val="de"/>
        </w:rPr>
        <w:t xml:space="preserve"> einen „emphatischen Begriff der ästhetischen Erfahrung“</w:t>
      </w:r>
      <w:r w:rsidR="00821F26">
        <w:rPr>
          <w:rFonts w:ascii="Times New Roman" w:hAnsi="Times New Roman"/>
          <w:sz w:val="24"/>
          <w:szCs w:val="24"/>
          <w:lang w:val="de"/>
        </w:rPr>
        <w:t>, der sich durch</w:t>
      </w:r>
      <w:r w:rsidR="006017CE">
        <w:rPr>
          <w:rFonts w:ascii="Times New Roman" w:hAnsi="Times New Roman"/>
          <w:sz w:val="24"/>
          <w:szCs w:val="24"/>
          <w:lang w:val="de"/>
        </w:rPr>
        <w:t xml:space="preserve"> „Transposition“ </w:t>
      </w:r>
      <w:r w:rsidR="00821F26">
        <w:rPr>
          <w:rFonts w:ascii="Times New Roman" w:hAnsi="Times New Roman"/>
          <w:sz w:val="24"/>
          <w:szCs w:val="24"/>
          <w:lang w:val="de"/>
        </w:rPr>
        <w:t>(</w:t>
      </w:r>
      <w:r w:rsidR="006017CE">
        <w:rPr>
          <w:rFonts w:ascii="Times New Roman" w:hAnsi="Times New Roman"/>
          <w:sz w:val="24"/>
          <w:szCs w:val="24"/>
          <w:lang w:val="de"/>
        </w:rPr>
        <w:t>kognitiver und sinnlicher Kräfte in gestaltete Form</w:t>
      </w:r>
      <w:r w:rsidR="00821F26">
        <w:rPr>
          <w:rFonts w:ascii="Times New Roman" w:hAnsi="Times New Roman"/>
          <w:sz w:val="24"/>
          <w:szCs w:val="24"/>
          <w:lang w:val="de"/>
        </w:rPr>
        <w:t>)</w:t>
      </w:r>
      <w:r w:rsidR="006017CE">
        <w:rPr>
          <w:rFonts w:ascii="Times New Roman" w:hAnsi="Times New Roman"/>
          <w:sz w:val="24"/>
          <w:szCs w:val="24"/>
          <w:lang w:val="de"/>
        </w:rPr>
        <w:t>, „</w:t>
      </w:r>
      <w:proofErr w:type="spellStart"/>
      <w:r w:rsidR="006017CE">
        <w:rPr>
          <w:rFonts w:ascii="Times New Roman" w:hAnsi="Times New Roman"/>
          <w:sz w:val="24"/>
          <w:szCs w:val="24"/>
          <w:lang w:val="de"/>
        </w:rPr>
        <w:t>Experimentalität</w:t>
      </w:r>
      <w:proofErr w:type="spellEnd"/>
      <w:r w:rsidR="006017CE">
        <w:rPr>
          <w:rFonts w:ascii="Times New Roman" w:hAnsi="Times New Roman"/>
          <w:sz w:val="24"/>
          <w:szCs w:val="24"/>
          <w:lang w:val="de"/>
        </w:rPr>
        <w:t>“</w:t>
      </w:r>
      <w:r w:rsidR="00821F26">
        <w:rPr>
          <w:rFonts w:ascii="Times New Roman" w:hAnsi="Times New Roman"/>
          <w:sz w:val="24"/>
          <w:szCs w:val="24"/>
          <w:lang w:val="de"/>
        </w:rPr>
        <w:t>,</w:t>
      </w:r>
      <w:r w:rsidR="00983FB3">
        <w:rPr>
          <w:rFonts w:ascii="Times New Roman" w:hAnsi="Times New Roman"/>
          <w:sz w:val="24"/>
          <w:szCs w:val="24"/>
          <w:lang w:val="de"/>
        </w:rPr>
        <w:t xml:space="preserve"> „</w:t>
      </w:r>
      <w:proofErr w:type="spellStart"/>
      <w:r w:rsidR="00983FB3">
        <w:rPr>
          <w:rFonts w:ascii="Times New Roman" w:hAnsi="Times New Roman"/>
          <w:sz w:val="24"/>
          <w:szCs w:val="24"/>
          <w:lang w:val="de"/>
        </w:rPr>
        <w:t>Transformativität</w:t>
      </w:r>
      <w:proofErr w:type="spellEnd"/>
      <w:r w:rsidR="00983FB3">
        <w:rPr>
          <w:rFonts w:ascii="Times New Roman" w:hAnsi="Times New Roman"/>
          <w:sz w:val="24"/>
          <w:szCs w:val="24"/>
          <w:lang w:val="de"/>
        </w:rPr>
        <w:t xml:space="preserve">“ </w:t>
      </w:r>
      <w:r w:rsidR="00821F26">
        <w:rPr>
          <w:rFonts w:ascii="Times New Roman" w:hAnsi="Times New Roman"/>
          <w:sz w:val="24"/>
          <w:szCs w:val="24"/>
          <w:lang w:val="de"/>
        </w:rPr>
        <w:t>sowie</w:t>
      </w:r>
      <w:r w:rsidR="00983FB3">
        <w:rPr>
          <w:rFonts w:ascii="Times New Roman" w:hAnsi="Times New Roman"/>
          <w:sz w:val="24"/>
          <w:szCs w:val="24"/>
          <w:lang w:val="de"/>
        </w:rPr>
        <w:t xml:space="preserve"> „</w:t>
      </w:r>
      <w:proofErr w:type="spellStart"/>
      <w:r w:rsidR="00983FB3">
        <w:rPr>
          <w:rFonts w:ascii="Times New Roman" w:hAnsi="Times New Roman"/>
          <w:sz w:val="24"/>
          <w:szCs w:val="24"/>
          <w:lang w:val="de"/>
        </w:rPr>
        <w:t>Transversalität</w:t>
      </w:r>
      <w:proofErr w:type="spellEnd"/>
      <w:r w:rsidR="00983FB3">
        <w:rPr>
          <w:rFonts w:ascii="Times New Roman" w:hAnsi="Times New Roman"/>
          <w:sz w:val="24"/>
          <w:szCs w:val="24"/>
          <w:lang w:val="de"/>
        </w:rPr>
        <w:t xml:space="preserve">“ </w:t>
      </w:r>
      <w:r w:rsidR="00821F26">
        <w:rPr>
          <w:rFonts w:ascii="Times New Roman" w:hAnsi="Times New Roman"/>
          <w:sz w:val="24"/>
          <w:szCs w:val="24"/>
          <w:lang w:val="de"/>
        </w:rPr>
        <w:t>auszeichne</w:t>
      </w:r>
      <w:r w:rsidR="00983FB3">
        <w:rPr>
          <w:rFonts w:ascii="Times New Roman" w:hAnsi="Times New Roman"/>
          <w:sz w:val="24"/>
          <w:szCs w:val="24"/>
          <w:lang w:val="de"/>
        </w:rPr>
        <w:t xml:space="preserve"> (vgl. 368/69). Schön ist d</w:t>
      </w:r>
      <w:r w:rsidR="00C1417C">
        <w:rPr>
          <w:rFonts w:ascii="Times New Roman" w:hAnsi="Times New Roman"/>
          <w:sz w:val="24"/>
          <w:szCs w:val="24"/>
          <w:lang w:val="de"/>
        </w:rPr>
        <w:t>as Erinnern an</w:t>
      </w:r>
      <w:r w:rsidR="00983FB3">
        <w:rPr>
          <w:rFonts w:ascii="Times New Roman" w:hAnsi="Times New Roman"/>
          <w:sz w:val="24"/>
          <w:szCs w:val="24"/>
          <w:lang w:val="de"/>
        </w:rPr>
        <w:t xml:space="preserve"> die von Giacomo Leopardi notierte Einsicht, daß keine ästhetische Erfahrung „sich jemals im Präsens einrichten“ kann (369).</w:t>
      </w:r>
      <w:r w:rsidR="00C1417C">
        <w:rPr>
          <w:rFonts w:ascii="Times New Roman" w:hAnsi="Times New Roman"/>
          <w:sz w:val="24"/>
          <w:szCs w:val="24"/>
          <w:lang w:val="de"/>
        </w:rPr>
        <w:t xml:space="preserve"> Was sich dergestalt ‚im Präsens‘ weder einrichten noch darin bescheiden kann, ist die „Ästhetische Evidenz“. </w:t>
      </w:r>
      <w:r w:rsidR="00821F26">
        <w:rPr>
          <w:rFonts w:ascii="Times New Roman" w:hAnsi="Times New Roman"/>
          <w:sz w:val="24"/>
          <w:szCs w:val="24"/>
          <w:lang w:val="de"/>
        </w:rPr>
        <w:t>Der ihr</w:t>
      </w:r>
      <w:r w:rsidR="00C1417C">
        <w:rPr>
          <w:rFonts w:ascii="Times New Roman" w:hAnsi="Times New Roman"/>
          <w:sz w:val="24"/>
          <w:szCs w:val="24"/>
          <w:lang w:val="de"/>
        </w:rPr>
        <w:t xml:space="preserve"> geltende Beitrag weist auf die vorkantische Geschichte des Begriffs der Evidenz</w:t>
      </w:r>
      <w:r w:rsidR="00225801">
        <w:rPr>
          <w:rFonts w:ascii="Times New Roman" w:hAnsi="Times New Roman"/>
          <w:sz w:val="24"/>
          <w:szCs w:val="24"/>
          <w:lang w:val="de"/>
        </w:rPr>
        <w:t xml:space="preserve"> und die in ästhetischer Hinsicht signifikanten Konklusionen bei Alexander Gottlieb Baumgarten und Karl Philipp Moritz hin (vgl. 373 ff.). Die lebensweltlichen </w:t>
      </w:r>
      <w:r w:rsidR="003C373D">
        <w:rPr>
          <w:rFonts w:ascii="Times New Roman" w:hAnsi="Times New Roman"/>
          <w:sz w:val="24"/>
          <w:szCs w:val="24"/>
          <w:lang w:val="de"/>
        </w:rPr>
        <w:t xml:space="preserve">Selbstverständnisse, die Kants </w:t>
      </w:r>
      <w:r w:rsidR="00225801" w:rsidRPr="003C373D">
        <w:rPr>
          <w:rFonts w:ascii="Times New Roman" w:hAnsi="Times New Roman"/>
          <w:i/>
          <w:sz w:val="24"/>
          <w:szCs w:val="24"/>
          <w:lang w:val="de"/>
        </w:rPr>
        <w:t>Kritik der Urteilskraft</w:t>
      </w:r>
      <w:r w:rsidR="00225801">
        <w:rPr>
          <w:rFonts w:ascii="Times New Roman" w:hAnsi="Times New Roman"/>
          <w:sz w:val="24"/>
          <w:szCs w:val="24"/>
          <w:lang w:val="de"/>
        </w:rPr>
        <w:t xml:space="preserve"> und den nach der Epochenschwelle 1800 formulierten Ästhetiken und Kunstphilosophien </w:t>
      </w:r>
      <w:r w:rsidR="00821F26">
        <w:rPr>
          <w:rFonts w:ascii="Times New Roman" w:hAnsi="Times New Roman"/>
          <w:sz w:val="24"/>
          <w:szCs w:val="24"/>
          <w:lang w:val="de"/>
        </w:rPr>
        <w:t xml:space="preserve">implizit sind, </w:t>
      </w:r>
      <w:r w:rsidR="00225801">
        <w:rPr>
          <w:rFonts w:ascii="Times New Roman" w:hAnsi="Times New Roman"/>
          <w:sz w:val="24"/>
          <w:szCs w:val="24"/>
          <w:lang w:val="de"/>
        </w:rPr>
        <w:t>geraten nach 1900 bzw. dem im 1. Weltkrieg zugrunde gehenden ‚langen 19. Jahrhundert‘ in die Krise.</w:t>
      </w:r>
      <w:r w:rsidR="003C373D">
        <w:rPr>
          <w:rFonts w:ascii="Times New Roman" w:hAnsi="Times New Roman"/>
          <w:sz w:val="24"/>
          <w:szCs w:val="24"/>
          <w:lang w:val="de"/>
        </w:rPr>
        <w:t xml:space="preserve"> Darauf reagieren Ernst Blochs </w:t>
      </w:r>
      <w:r w:rsidR="00225801" w:rsidRPr="003C373D">
        <w:rPr>
          <w:rFonts w:ascii="Times New Roman" w:hAnsi="Times New Roman"/>
          <w:i/>
          <w:sz w:val="24"/>
          <w:szCs w:val="24"/>
          <w:lang w:val="de"/>
        </w:rPr>
        <w:t>Geist der Utopie</w:t>
      </w:r>
      <w:r w:rsidR="00225801">
        <w:rPr>
          <w:rFonts w:ascii="Times New Roman" w:hAnsi="Times New Roman"/>
          <w:sz w:val="24"/>
          <w:szCs w:val="24"/>
          <w:lang w:val="de"/>
        </w:rPr>
        <w:t xml:space="preserve">, Walter Benjamins </w:t>
      </w:r>
      <w:r w:rsidR="00225801" w:rsidRPr="004449BA">
        <w:rPr>
          <w:rFonts w:ascii="Times New Roman" w:hAnsi="Times New Roman"/>
          <w:i/>
          <w:sz w:val="24"/>
          <w:szCs w:val="24"/>
          <w:lang w:val="de"/>
        </w:rPr>
        <w:t>Ursprung des deutschen Trauerspiels</w:t>
      </w:r>
      <w:r w:rsidR="004449BA">
        <w:rPr>
          <w:rFonts w:ascii="Times New Roman" w:hAnsi="Times New Roman"/>
          <w:sz w:val="24"/>
          <w:szCs w:val="24"/>
          <w:lang w:val="de"/>
        </w:rPr>
        <w:t xml:space="preserve"> und Georg Lukács mit der </w:t>
      </w:r>
      <w:r w:rsidR="00225801" w:rsidRPr="004449BA">
        <w:rPr>
          <w:rFonts w:ascii="Times New Roman" w:hAnsi="Times New Roman"/>
          <w:i/>
          <w:sz w:val="24"/>
          <w:szCs w:val="24"/>
          <w:lang w:val="de"/>
        </w:rPr>
        <w:t>Theorie des Romans</w:t>
      </w:r>
      <w:r w:rsidR="00225801">
        <w:rPr>
          <w:rFonts w:ascii="Times New Roman" w:hAnsi="Times New Roman"/>
          <w:sz w:val="24"/>
          <w:szCs w:val="24"/>
          <w:lang w:val="de"/>
        </w:rPr>
        <w:t xml:space="preserve"> und </w:t>
      </w:r>
      <w:r w:rsidR="00225801" w:rsidRPr="004449BA">
        <w:rPr>
          <w:rFonts w:ascii="Times New Roman" w:hAnsi="Times New Roman"/>
          <w:i/>
          <w:sz w:val="24"/>
          <w:szCs w:val="24"/>
          <w:lang w:val="de"/>
        </w:rPr>
        <w:t xml:space="preserve">Geschichte und </w:t>
      </w:r>
      <w:proofErr w:type="spellStart"/>
      <w:r w:rsidR="00225801" w:rsidRPr="004449BA">
        <w:rPr>
          <w:rFonts w:ascii="Times New Roman" w:hAnsi="Times New Roman"/>
          <w:i/>
          <w:sz w:val="24"/>
          <w:szCs w:val="24"/>
          <w:lang w:val="de"/>
        </w:rPr>
        <w:t>Klassenbewußtsein</w:t>
      </w:r>
      <w:proofErr w:type="spellEnd"/>
      <w:r w:rsidR="00225801">
        <w:rPr>
          <w:rFonts w:ascii="Times New Roman" w:hAnsi="Times New Roman"/>
          <w:sz w:val="24"/>
          <w:szCs w:val="24"/>
          <w:lang w:val="de"/>
        </w:rPr>
        <w:t>. Darauf reagiert aber ebensosehr der Begründer der Phänomenologie</w:t>
      </w:r>
      <w:r w:rsidR="00A43962">
        <w:rPr>
          <w:rFonts w:ascii="Times New Roman" w:hAnsi="Times New Roman"/>
          <w:sz w:val="24"/>
          <w:szCs w:val="24"/>
          <w:lang w:val="de"/>
        </w:rPr>
        <w:t>,</w:t>
      </w:r>
      <w:r w:rsidR="00225801">
        <w:rPr>
          <w:rFonts w:ascii="Times New Roman" w:hAnsi="Times New Roman"/>
          <w:sz w:val="24"/>
          <w:szCs w:val="24"/>
          <w:lang w:val="de"/>
        </w:rPr>
        <w:t xml:space="preserve"> Edmund</w:t>
      </w:r>
      <w:r w:rsidR="00A43962">
        <w:rPr>
          <w:rFonts w:ascii="Times New Roman" w:hAnsi="Times New Roman"/>
          <w:sz w:val="24"/>
          <w:szCs w:val="24"/>
          <w:lang w:val="de"/>
        </w:rPr>
        <w:t xml:space="preserve"> Husserl, mit seiner </w:t>
      </w:r>
      <w:r w:rsidR="00A43962" w:rsidRPr="004449BA">
        <w:rPr>
          <w:rFonts w:ascii="Times New Roman" w:hAnsi="Times New Roman"/>
          <w:i/>
          <w:sz w:val="24"/>
          <w:szCs w:val="24"/>
          <w:lang w:val="de"/>
        </w:rPr>
        <w:t>Krisis</w:t>
      </w:r>
      <w:r w:rsidR="00A43962">
        <w:rPr>
          <w:rFonts w:ascii="Times New Roman" w:hAnsi="Times New Roman"/>
          <w:sz w:val="24"/>
          <w:szCs w:val="24"/>
          <w:lang w:val="de"/>
        </w:rPr>
        <w:t>-Schrift. Mit ihr erfolgt eine phänomenologische Umdeutung ästhetischer Evidenz, die „die Lage der Ästhetik im Ganzen der Philosophie“ einbezog und die „neue Handhabung ästhetischer Evidenz“ – etwa bei Adorno und Blumenberg – vorbereitet (vgl. 382/83).</w:t>
      </w:r>
      <w:r w:rsidR="003D0FCE">
        <w:rPr>
          <w:rFonts w:ascii="Times New Roman" w:hAnsi="Times New Roman"/>
          <w:sz w:val="24"/>
          <w:szCs w:val="24"/>
          <w:lang w:val="de"/>
        </w:rPr>
        <w:t xml:space="preserve"> Der Beitrag „Ästhetische Wahrheit“ </w:t>
      </w:r>
      <w:r w:rsidR="00137831">
        <w:rPr>
          <w:rFonts w:ascii="Times New Roman" w:hAnsi="Times New Roman"/>
          <w:sz w:val="24"/>
          <w:szCs w:val="24"/>
          <w:lang w:val="de"/>
        </w:rPr>
        <w:t xml:space="preserve">(387-399) </w:t>
      </w:r>
      <w:r w:rsidR="003D0FCE">
        <w:rPr>
          <w:rFonts w:ascii="Times New Roman" w:hAnsi="Times New Roman"/>
          <w:sz w:val="24"/>
          <w:szCs w:val="24"/>
          <w:lang w:val="de"/>
        </w:rPr>
        <w:t>zeichnet sich dadurch aus, daß er Philosophiegeschichte nicht auf die Antike (und</w:t>
      </w:r>
      <w:r w:rsidR="00345E79">
        <w:rPr>
          <w:rFonts w:ascii="Times New Roman" w:hAnsi="Times New Roman"/>
          <w:sz w:val="24"/>
          <w:szCs w:val="24"/>
          <w:lang w:val="de"/>
        </w:rPr>
        <w:t xml:space="preserve"> diese</w:t>
      </w:r>
      <w:r w:rsidR="003D0FCE">
        <w:rPr>
          <w:rFonts w:ascii="Times New Roman" w:hAnsi="Times New Roman"/>
          <w:sz w:val="24"/>
          <w:szCs w:val="24"/>
          <w:lang w:val="de"/>
        </w:rPr>
        <w:t xml:space="preserve"> auf Platon und Aristoteles) einschränkt, sondern z.B. auch dem, was man Mittelalter nennt, Berücksichtigung schenkt. </w:t>
      </w:r>
      <w:r w:rsidR="00E438BF">
        <w:rPr>
          <w:rFonts w:ascii="Times New Roman" w:hAnsi="Times New Roman"/>
          <w:sz w:val="24"/>
          <w:szCs w:val="24"/>
          <w:lang w:val="de"/>
        </w:rPr>
        <w:t>Ohne die</w:t>
      </w:r>
      <w:r w:rsidR="003D0FCE">
        <w:rPr>
          <w:rFonts w:ascii="Times New Roman" w:hAnsi="Times New Roman"/>
          <w:sz w:val="24"/>
          <w:szCs w:val="24"/>
          <w:lang w:val="de"/>
        </w:rPr>
        <w:t xml:space="preserve"> christliche Adaptation und Transformation (neu-)platonischer Denkmotive z.B. bei Dionysius Pseudo-Areopagita, </w:t>
      </w:r>
      <w:r w:rsidR="00345E79">
        <w:rPr>
          <w:rFonts w:ascii="Times New Roman" w:hAnsi="Times New Roman"/>
          <w:sz w:val="24"/>
          <w:szCs w:val="24"/>
          <w:lang w:val="de"/>
        </w:rPr>
        <w:t xml:space="preserve">Johannes </w:t>
      </w:r>
      <w:proofErr w:type="spellStart"/>
      <w:r w:rsidR="00345E79">
        <w:rPr>
          <w:rFonts w:ascii="Times New Roman" w:hAnsi="Times New Roman"/>
          <w:sz w:val="24"/>
          <w:szCs w:val="24"/>
          <w:lang w:val="de"/>
        </w:rPr>
        <w:t>Scottus</w:t>
      </w:r>
      <w:proofErr w:type="spellEnd"/>
      <w:r w:rsidR="00345E79">
        <w:rPr>
          <w:rFonts w:ascii="Times New Roman" w:hAnsi="Times New Roman"/>
          <w:sz w:val="24"/>
          <w:szCs w:val="24"/>
          <w:lang w:val="de"/>
        </w:rPr>
        <w:t xml:space="preserve"> </w:t>
      </w:r>
      <w:proofErr w:type="spellStart"/>
      <w:r w:rsidR="003D0FCE">
        <w:rPr>
          <w:rFonts w:ascii="Times New Roman" w:hAnsi="Times New Roman"/>
          <w:sz w:val="24"/>
          <w:szCs w:val="24"/>
          <w:lang w:val="de"/>
        </w:rPr>
        <w:t>Eriugena</w:t>
      </w:r>
      <w:proofErr w:type="spellEnd"/>
      <w:r w:rsidR="003D0FCE">
        <w:rPr>
          <w:rFonts w:ascii="Times New Roman" w:hAnsi="Times New Roman"/>
          <w:sz w:val="24"/>
          <w:szCs w:val="24"/>
          <w:lang w:val="de"/>
        </w:rPr>
        <w:t xml:space="preserve"> oder </w:t>
      </w:r>
      <w:r w:rsidR="00345E79">
        <w:rPr>
          <w:rFonts w:ascii="Times New Roman" w:hAnsi="Times New Roman"/>
          <w:sz w:val="24"/>
          <w:szCs w:val="24"/>
          <w:lang w:val="de"/>
        </w:rPr>
        <w:t>Nikolaus von Kues</w:t>
      </w:r>
      <w:r w:rsidR="003D0FCE">
        <w:rPr>
          <w:rFonts w:ascii="Times New Roman" w:hAnsi="Times New Roman"/>
          <w:sz w:val="24"/>
          <w:szCs w:val="24"/>
          <w:lang w:val="de"/>
        </w:rPr>
        <w:t xml:space="preserve"> </w:t>
      </w:r>
      <w:r w:rsidR="00E438BF">
        <w:rPr>
          <w:rFonts w:ascii="Times New Roman" w:hAnsi="Times New Roman"/>
          <w:sz w:val="24"/>
          <w:szCs w:val="24"/>
          <w:lang w:val="de"/>
        </w:rPr>
        <w:t xml:space="preserve">wäre die Renaissance nicht möglich gewesen. Bedingung von deren Wirklichkeit </w:t>
      </w:r>
      <w:r w:rsidR="00345E79">
        <w:rPr>
          <w:rFonts w:ascii="Times New Roman" w:hAnsi="Times New Roman"/>
          <w:sz w:val="24"/>
          <w:szCs w:val="24"/>
          <w:lang w:val="de"/>
        </w:rPr>
        <w:t xml:space="preserve">ist sie </w:t>
      </w:r>
      <w:r w:rsidR="00E438BF">
        <w:rPr>
          <w:rFonts w:ascii="Times New Roman" w:hAnsi="Times New Roman"/>
          <w:sz w:val="24"/>
          <w:szCs w:val="24"/>
          <w:lang w:val="de"/>
        </w:rPr>
        <w:t xml:space="preserve">gerade in kunstphilosophischer Perspektive. </w:t>
      </w:r>
      <w:r w:rsidR="00345E79">
        <w:rPr>
          <w:rFonts w:ascii="Times New Roman" w:hAnsi="Times New Roman"/>
          <w:sz w:val="24"/>
          <w:szCs w:val="24"/>
          <w:lang w:val="de"/>
        </w:rPr>
        <w:t>Nicht zuletzt</w:t>
      </w:r>
      <w:r w:rsidR="00E438BF">
        <w:rPr>
          <w:rFonts w:ascii="Times New Roman" w:hAnsi="Times New Roman"/>
          <w:sz w:val="24"/>
          <w:szCs w:val="24"/>
          <w:lang w:val="de"/>
        </w:rPr>
        <w:t xml:space="preserve"> im Hinblick auf die Frage, ob „Kunst als Medium, Reflexionen auf Weltdeutung zu initiieren, ihr</w:t>
      </w:r>
      <w:r w:rsidR="004449BA">
        <w:rPr>
          <w:rFonts w:ascii="Times New Roman" w:hAnsi="Times New Roman"/>
          <w:sz w:val="24"/>
          <w:szCs w:val="24"/>
          <w:lang w:val="de"/>
        </w:rPr>
        <w:t xml:space="preserve"> kritisches Wahrheitspotenzial […]</w:t>
      </w:r>
      <w:r w:rsidR="00E438BF">
        <w:rPr>
          <w:rFonts w:ascii="Times New Roman" w:hAnsi="Times New Roman"/>
          <w:sz w:val="24"/>
          <w:szCs w:val="24"/>
          <w:lang w:val="de"/>
        </w:rPr>
        <w:t xml:space="preserve"> abgegeben“ hat, ode</w:t>
      </w:r>
      <w:r w:rsidR="00E438BF" w:rsidRPr="00B25719">
        <w:rPr>
          <w:rFonts w:ascii="Times New Roman" w:hAnsi="Times New Roman"/>
          <w:sz w:val="24"/>
          <w:szCs w:val="24"/>
          <w:lang w:val="de"/>
        </w:rPr>
        <w:t xml:space="preserve">r sie sich „als kontinuierliche, praktisch </w:t>
      </w:r>
      <w:r w:rsidR="00E438BF" w:rsidRPr="00B25719">
        <w:rPr>
          <w:rFonts w:ascii="Times New Roman" w:hAnsi="Times New Roman"/>
          <w:sz w:val="24"/>
          <w:szCs w:val="24"/>
          <w:lang w:val="de"/>
        </w:rPr>
        <w:lastRenderedPageBreak/>
        <w:t xml:space="preserve">werdende Kritik verstehen </w:t>
      </w:r>
      <w:r w:rsidR="004449BA">
        <w:rPr>
          <w:rFonts w:ascii="Times New Roman" w:hAnsi="Times New Roman"/>
          <w:sz w:val="24"/>
          <w:szCs w:val="24"/>
          <w:lang w:val="de"/>
        </w:rPr>
        <w:t>[</w:t>
      </w:r>
      <w:proofErr w:type="spellStart"/>
      <w:r w:rsidR="004449BA">
        <w:rPr>
          <w:rFonts w:ascii="Times New Roman" w:hAnsi="Times New Roman"/>
          <w:sz w:val="24"/>
          <w:szCs w:val="24"/>
          <w:lang w:val="de"/>
        </w:rPr>
        <w:t>läßt</w:t>
      </w:r>
      <w:proofErr w:type="spellEnd"/>
      <w:r w:rsidR="004449BA">
        <w:rPr>
          <w:rFonts w:ascii="Times New Roman" w:hAnsi="Times New Roman"/>
          <w:sz w:val="24"/>
          <w:szCs w:val="24"/>
          <w:lang w:val="de"/>
        </w:rPr>
        <w:t>], die sich […]</w:t>
      </w:r>
      <w:r w:rsidR="00E438BF" w:rsidRPr="00B25719">
        <w:rPr>
          <w:rFonts w:ascii="Times New Roman" w:hAnsi="Times New Roman"/>
          <w:sz w:val="24"/>
          <w:szCs w:val="24"/>
          <w:lang w:val="de"/>
        </w:rPr>
        <w:t xml:space="preserve"> an epistemischen Paradigmen oder hermeneutischen Herrschaftsdiskursen</w:t>
      </w:r>
      <w:r w:rsidR="005979FB" w:rsidRPr="00B25719">
        <w:rPr>
          <w:rFonts w:ascii="Times New Roman" w:hAnsi="Times New Roman"/>
          <w:sz w:val="24"/>
          <w:szCs w:val="24"/>
          <w:lang w:val="de"/>
        </w:rPr>
        <w:t xml:space="preserve"> </w:t>
      </w:r>
      <w:r w:rsidR="004449BA">
        <w:rPr>
          <w:rFonts w:ascii="Times New Roman" w:hAnsi="Times New Roman"/>
          <w:sz w:val="24"/>
          <w:szCs w:val="24"/>
          <w:lang w:val="de"/>
        </w:rPr>
        <w:t>[…] reibt […]</w:t>
      </w:r>
      <w:r w:rsidR="005979FB" w:rsidRPr="00B25719">
        <w:rPr>
          <w:rFonts w:ascii="Times New Roman" w:hAnsi="Times New Roman"/>
          <w:sz w:val="24"/>
          <w:szCs w:val="24"/>
          <w:lang w:val="de"/>
        </w:rPr>
        <w:t xml:space="preserve"> und sich gegen diskursive Vere</w:t>
      </w:r>
      <w:r w:rsidR="004449BA">
        <w:rPr>
          <w:rFonts w:ascii="Times New Roman" w:hAnsi="Times New Roman"/>
          <w:sz w:val="24"/>
          <w:szCs w:val="24"/>
          <w:lang w:val="de"/>
        </w:rPr>
        <w:t>innahmungen zu behaupten sucht […]</w:t>
      </w:r>
      <w:r w:rsidR="005979FB" w:rsidRPr="00B25719">
        <w:rPr>
          <w:rFonts w:ascii="Times New Roman" w:hAnsi="Times New Roman"/>
          <w:sz w:val="24"/>
          <w:szCs w:val="24"/>
          <w:lang w:val="de"/>
        </w:rPr>
        <w:t>“ (vgl. 387),</w:t>
      </w:r>
      <w:r w:rsidR="00B25719" w:rsidRPr="00B25719">
        <w:rPr>
          <w:rFonts w:ascii="Times New Roman" w:hAnsi="Times New Roman"/>
          <w:sz w:val="24"/>
          <w:szCs w:val="24"/>
          <w:lang w:val="de"/>
        </w:rPr>
        <w:t xml:space="preserve"> dürfte sich </w:t>
      </w:r>
      <w:r w:rsidR="00B25719">
        <w:rPr>
          <w:rFonts w:ascii="Times New Roman" w:hAnsi="Times New Roman"/>
          <w:sz w:val="24"/>
          <w:szCs w:val="24"/>
          <w:lang w:val="de"/>
        </w:rPr>
        <w:t>bewahrheiten</w:t>
      </w:r>
      <w:r w:rsidR="00B25719" w:rsidRPr="00B25719">
        <w:rPr>
          <w:rFonts w:ascii="Times New Roman" w:hAnsi="Times New Roman"/>
          <w:sz w:val="24"/>
          <w:szCs w:val="24"/>
          <w:lang w:val="de"/>
        </w:rPr>
        <w:t xml:space="preserve">, daß </w:t>
      </w:r>
      <w:r w:rsidR="008B0498">
        <w:rPr>
          <w:rFonts w:ascii="Times New Roman" w:hAnsi="Times New Roman"/>
          <w:sz w:val="24"/>
          <w:szCs w:val="24"/>
          <w:lang w:val="de"/>
        </w:rPr>
        <w:t xml:space="preserve">die „Geschichte der Philosophie,  </w:t>
      </w:r>
      <w:r w:rsidR="004449BA">
        <w:rPr>
          <w:rFonts w:ascii="Times New Roman" w:hAnsi="Times New Roman"/>
          <w:sz w:val="24"/>
          <w:szCs w:val="24"/>
          <w:lang w:val="de"/>
        </w:rPr>
        <w:t>[…]</w:t>
      </w:r>
      <w:r w:rsidR="00B25719" w:rsidRPr="00B25719">
        <w:rPr>
          <w:rFonts w:ascii="Times New Roman" w:hAnsi="Times New Roman"/>
          <w:spacing w:val="-3"/>
          <w:sz w:val="24"/>
          <w:szCs w:val="24"/>
        </w:rPr>
        <w:t xml:space="preserve"> ob sie gleich Geschichte ist, </w:t>
      </w:r>
      <w:r w:rsidR="008B0498">
        <w:rPr>
          <w:rFonts w:ascii="Times New Roman" w:hAnsi="Times New Roman"/>
          <w:spacing w:val="-3"/>
          <w:sz w:val="24"/>
          <w:szCs w:val="24"/>
        </w:rPr>
        <w:t xml:space="preserve">es </w:t>
      </w:r>
      <w:r w:rsidR="00B25719" w:rsidRPr="00B25719">
        <w:rPr>
          <w:rFonts w:ascii="Times New Roman" w:hAnsi="Times New Roman"/>
          <w:spacing w:val="-3"/>
          <w:sz w:val="24"/>
          <w:szCs w:val="24"/>
        </w:rPr>
        <w:t>doch nicht mit</w:t>
      </w:r>
      <w:r w:rsidR="004449BA">
        <w:rPr>
          <w:rFonts w:ascii="Times New Roman" w:hAnsi="Times New Roman"/>
          <w:spacing w:val="-3"/>
          <w:sz w:val="24"/>
          <w:szCs w:val="24"/>
        </w:rPr>
        <w:t xml:space="preserve"> Vergangenem [...]</w:t>
      </w:r>
      <w:r w:rsidR="008B0498">
        <w:rPr>
          <w:rFonts w:ascii="Times New Roman" w:hAnsi="Times New Roman"/>
          <w:spacing w:val="-3"/>
          <w:sz w:val="24"/>
          <w:szCs w:val="24"/>
        </w:rPr>
        <w:t>“ , sondern dem lebendig Gegenwärtigen zu tun hat.</w:t>
      </w:r>
      <w:r w:rsidR="00B25719" w:rsidRPr="00B25719">
        <w:rPr>
          <w:rFonts w:ascii="Times New Roman" w:hAnsi="Times New Roman"/>
          <w:spacing w:val="-3"/>
          <w:sz w:val="24"/>
          <w:szCs w:val="24"/>
          <w:vertAlign w:val="superscript"/>
        </w:rPr>
        <w:footnoteReference w:id="5"/>
      </w:r>
      <w:r w:rsidR="00345E79">
        <w:rPr>
          <w:rFonts w:ascii="Times New Roman" w:hAnsi="Times New Roman"/>
          <w:spacing w:val="-3"/>
          <w:sz w:val="24"/>
          <w:szCs w:val="24"/>
        </w:rPr>
        <w:t xml:space="preserve"> Was als dieses lebendig Gegenwärtige zum Gegenstand wird, entfalten im Handbuch im Anschlu</w:t>
      </w:r>
      <w:r w:rsidR="004449BA">
        <w:rPr>
          <w:rFonts w:ascii="Times New Roman" w:hAnsi="Times New Roman"/>
          <w:spacing w:val="-3"/>
          <w:sz w:val="24"/>
          <w:szCs w:val="24"/>
        </w:rPr>
        <w:t>ss</w:t>
      </w:r>
      <w:r w:rsidR="00E47BF7">
        <w:rPr>
          <w:rFonts w:ascii="Times New Roman" w:hAnsi="Times New Roman"/>
          <w:spacing w:val="-3"/>
          <w:sz w:val="24"/>
          <w:szCs w:val="24"/>
        </w:rPr>
        <w:t xml:space="preserve"> </w:t>
      </w:r>
      <w:r w:rsidR="00345E79">
        <w:rPr>
          <w:rFonts w:ascii="Times New Roman" w:hAnsi="Times New Roman"/>
          <w:spacing w:val="-3"/>
          <w:sz w:val="24"/>
          <w:szCs w:val="24"/>
        </w:rPr>
        <w:t xml:space="preserve">die Beiträge zu </w:t>
      </w:r>
      <w:r w:rsidR="00345E79">
        <w:rPr>
          <w:rFonts w:ascii="Times New Roman" w:hAnsi="Times New Roman"/>
          <w:sz w:val="24"/>
          <w:szCs w:val="24"/>
          <w:lang w:val="de"/>
        </w:rPr>
        <w:t>„Reflexion“, „Affekt“, „Geschmack“, „Präsenz“, „Fiktion“, „Sehen“, „Hören“, „Wissen“, „Kritik“ und „Kunst(</w:t>
      </w:r>
      <w:proofErr w:type="spellStart"/>
      <w:r w:rsidR="00345E79">
        <w:rPr>
          <w:rFonts w:ascii="Times New Roman" w:hAnsi="Times New Roman"/>
          <w:sz w:val="24"/>
          <w:szCs w:val="24"/>
          <w:lang w:val="de"/>
        </w:rPr>
        <w:t>philosophie</w:t>
      </w:r>
      <w:proofErr w:type="spellEnd"/>
      <w:r w:rsidR="00345E79">
        <w:rPr>
          <w:rFonts w:ascii="Times New Roman" w:hAnsi="Times New Roman"/>
          <w:sz w:val="24"/>
          <w:szCs w:val="24"/>
          <w:lang w:val="de"/>
        </w:rPr>
        <w:t>) und (</w:t>
      </w:r>
      <w:proofErr w:type="spellStart"/>
      <w:r w:rsidR="00345E79">
        <w:rPr>
          <w:rFonts w:ascii="Times New Roman" w:hAnsi="Times New Roman"/>
          <w:sz w:val="24"/>
          <w:szCs w:val="24"/>
          <w:lang w:val="de"/>
        </w:rPr>
        <w:t>post</w:t>
      </w:r>
      <w:proofErr w:type="spellEnd"/>
      <w:r w:rsidR="00345E79">
        <w:rPr>
          <w:rFonts w:ascii="Times New Roman" w:hAnsi="Times New Roman"/>
          <w:sz w:val="24"/>
          <w:szCs w:val="24"/>
          <w:lang w:val="de"/>
        </w:rPr>
        <w:t xml:space="preserve">)koloniale Kritik“ in perspektivreicher Weise. Insgesamt liefert Teil III des Handbuchs den Beleg, daß „im Verhältnis Kunstphilosophie und Ästhetik“ </w:t>
      </w:r>
      <w:r w:rsidR="003D10AE">
        <w:rPr>
          <w:rFonts w:ascii="Times New Roman" w:hAnsi="Times New Roman"/>
          <w:sz w:val="24"/>
          <w:szCs w:val="24"/>
          <w:lang w:val="de"/>
        </w:rPr>
        <w:t xml:space="preserve">zwar </w:t>
      </w:r>
      <w:r w:rsidR="00345E79">
        <w:rPr>
          <w:rFonts w:ascii="Times New Roman" w:hAnsi="Times New Roman"/>
          <w:sz w:val="24"/>
          <w:szCs w:val="24"/>
          <w:lang w:val="de"/>
        </w:rPr>
        <w:t>die Kommentare „von einer impliziten Gleichsetzung über die Darstellung der Kunstphilosophie als Teilgebiet der philosophischen Ästhetik bis hin zur Behauptung (reichen), eine theoretische Reflexion der Künste solle heute gar</w:t>
      </w:r>
      <w:r w:rsidR="003D10AE">
        <w:rPr>
          <w:rFonts w:ascii="Times New Roman" w:hAnsi="Times New Roman"/>
          <w:sz w:val="24"/>
          <w:szCs w:val="24"/>
          <w:lang w:val="de"/>
        </w:rPr>
        <w:t xml:space="preserve"> nichts mehr mit ästhetischen Überlegungen zu tun haben.“ Es überwiegen „allerdings die Beiträge, in denen die </w:t>
      </w:r>
      <w:proofErr w:type="spellStart"/>
      <w:r w:rsidR="003D10AE">
        <w:rPr>
          <w:rFonts w:ascii="Times New Roman" w:hAnsi="Times New Roman"/>
          <w:sz w:val="24"/>
          <w:szCs w:val="24"/>
          <w:lang w:val="de"/>
        </w:rPr>
        <w:t>Autor:innen</w:t>
      </w:r>
      <w:proofErr w:type="spellEnd"/>
      <w:r w:rsidR="003D10AE">
        <w:rPr>
          <w:rFonts w:ascii="Times New Roman" w:hAnsi="Times New Roman"/>
          <w:sz w:val="24"/>
          <w:szCs w:val="24"/>
          <w:lang w:val="de"/>
        </w:rPr>
        <w:t xml:space="preserve"> von einer Beziehung zwischen Ästhetik und Kunstphilosophie ausgehen, und zwar von ihrer beiderseitigen Verflechtung.“ (12) – Diese rückblickende Einschätzung belegt </w:t>
      </w:r>
      <w:r w:rsidR="009E39EA">
        <w:rPr>
          <w:rFonts w:ascii="Times New Roman" w:hAnsi="Times New Roman"/>
          <w:sz w:val="24"/>
          <w:szCs w:val="24"/>
          <w:lang w:val="de"/>
        </w:rPr>
        <w:t>dann nicht zuletzt</w:t>
      </w:r>
      <w:r w:rsidR="003D10AE">
        <w:rPr>
          <w:rFonts w:ascii="Times New Roman" w:hAnsi="Times New Roman"/>
          <w:sz w:val="24"/>
          <w:szCs w:val="24"/>
          <w:lang w:val="de"/>
        </w:rPr>
        <w:t xml:space="preserve"> Teil IV des Handbuchs mit den Beiträgen: „Funktionen von Künsten“, „Autonomie der Kunst“, „Zweck/ Zweckfreiheit“, „›Politik‹ und ›die Künste‹“, „Künste und Moral“, „Künste und Ökonomie“, „Künste und </w:t>
      </w:r>
      <w:proofErr w:type="spellStart"/>
      <w:r w:rsidR="003D10AE">
        <w:rPr>
          <w:rFonts w:ascii="Times New Roman" w:hAnsi="Times New Roman"/>
          <w:sz w:val="24"/>
          <w:szCs w:val="24"/>
          <w:lang w:val="de"/>
        </w:rPr>
        <w:t>Digitalität</w:t>
      </w:r>
      <w:proofErr w:type="spellEnd"/>
      <w:r w:rsidR="003D10AE">
        <w:rPr>
          <w:rFonts w:ascii="Times New Roman" w:hAnsi="Times New Roman"/>
          <w:sz w:val="24"/>
          <w:szCs w:val="24"/>
          <w:lang w:val="de"/>
        </w:rPr>
        <w:t>“</w:t>
      </w:r>
      <w:r w:rsidR="003A1894">
        <w:rPr>
          <w:rFonts w:ascii="Times New Roman" w:hAnsi="Times New Roman"/>
          <w:sz w:val="24"/>
          <w:szCs w:val="24"/>
          <w:lang w:val="de"/>
        </w:rPr>
        <w:t xml:space="preserve"> sowie d</w:t>
      </w:r>
      <w:r w:rsidR="00E47BF7">
        <w:rPr>
          <w:rFonts w:ascii="Times New Roman" w:hAnsi="Times New Roman"/>
          <w:sz w:val="24"/>
          <w:szCs w:val="24"/>
          <w:lang w:val="de"/>
        </w:rPr>
        <w:t>er</w:t>
      </w:r>
      <w:r w:rsidR="003A1894">
        <w:rPr>
          <w:rFonts w:ascii="Times New Roman" w:hAnsi="Times New Roman"/>
          <w:sz w:val="24"/>
          <w:szCs w:val="24"/>
          <w:lang w:val="de"/>
        </w:rPr>
        <w:t xml:space="preserve"> </w:t>
      </w:r>
      <w:proofErr w:type="spellStart"/>
      <w:r w:rsidR="003A1894">
        <w:rPr>
          <w:rFonts w:ascii="Times New Roman" w:hAnsi="Times New Roman"/>
          <w:sz w:val="24"/>
          <w:szCs w:val="24"/>
          <w:lang w:val="de"/>
        </w:rPr>
        <w:t>Schlußtrias</w:t>
      </w:r>
      <w:proofErr w:type="spellEnd"/>
      <w:r w:rsidR="003A1894">
        <w:rPr>
          <w:rFonts w:ascii="Times New Roman" w:hAnsi="Times New Roman"/>
          <w:sz w:val="24"/>
          <w:szCs w:val="24"/>
          <w:lang w:val="de"/>
        </w:rPr>
        <w:t xml:space="preserve">: </w:t>
      </w:r>
      <w:r w:rsidR="003D10AE">
        <w:rPr>
          <w:rFonts w:ascii="Times New Roman" w:hAnsi="Times New Roman"/>
          <w:sz w:val="24"/>
          <w:szCs w:val="24"/>
          <w:lang w:val="de"/>
        </w:rPr>
        <w:t>„Zeitgenossenschaft“, „Entgrenzung der Kunst“</w:t>
      </w:r>
      <w:r w:rsidR="00E47BF7">
        <w:rPr>
          <w:rFonts w:ascii="Times New Roman" w:hAnsi="Times New Roman"/>
          <w:sz w:val="24"/>
          <w:szCs w:val="24"/>
          <w:lang w:val="de"/>
        </w:rPr>
        <w:t>, „Utopie“ (643-687)</w:t>
      </w:r>
      <w:r w:rsidR="003D10AE">
        <w:rPr>
          <w:rFonts w:ascii="Times New Roman" w:hAnsi="Times New Roman"/>
          <w:sz w:val="24"/>
          <w:szCs w:val="24"/>
          <w:lang w:val="de"/>
        </w:rPr>
        <w:t>,</w:t>
      </w:r>
      <w:r w:rsidR="00E47BF7">
        <w:rPr>
          <w:rFonts w:ascii="Times New Roman" w:hAnsi="Times New Roman"/>
          <w:sz w:val="24"/>
          <w:szCs w:val="24"/>
          <w:lang w:val="de"/>
        </w:rPr>
        <w:t xml:space="preserve"> die das Verhältnis bzw. die Wechselwirkung ‚Kunst – Gesellschaft’ in vielfältiger Perspektive deuten. Bemerkenswert ist dabei die Reihung ‚Zeitgenossenschaft-Entgrenzung der Kunst-Utopie‘</w:t>
      </w:r>
      <w:r w:rsidR="003A1894">
        <w:rPr>
          <w:rFonts w:ascii="Times New Roman" w:hAnsi="Times New Roman"/>
          <w:sz w:val="24"/>
          <w:szCs w:val="24"/>
          <w:lang w:val="de"/>
        </w:rPr>
        <w:t>.</w:t>
      </w:r>
      <w:r w:rsidR="00E47BF7">
        <w:rPr>
          <w:rFonts w:ascii="Times New Roman" w:hAnsi="Times New Roman"/>
          <w:sz w:val="24"/>
          <w:szCs w:val="24"/>
          <w:lang w:val="de"/>
        </w:rPr>
        <w:t xml:space="preserve"> Hier klingt nach, da</w:t>
      </w:r>
      <w:r w:rsidR="004449BA">
        <w:rPr>
          <w:rFonts w:ascii="Times New Roman" w:hAnsi="Times New Roman"/>
          <w:sz w:val="24"/>
          <w:szCs w:val="24"/>
          <w:lang w:val="de"/>
        </w:rPr>
        <w:t>ss</w:t>
      </w:r>
      <w:r w:rsidR="00E47BF7">
        <w:rPr>
          <w:rFonts w:ascii="Times New Roman" w:hAnsi="Times New Roman"/>
          <w:sz w:val="24"/>
          <w:szCs w:val="24"/>
          <w:lang w:val="de"/>
        </w:rPr>
        <w:t xml:space="preserve"> Nachahmung im Sinne der Kunst sich auf etwas richtet, was ‚noch nicht‘ ist</w:t>
      </w:r>
      <w:r w:rsidR="004449BA">
        <w:rPr>
          <w:rFonts w:ascii="Times New Roman" w:hAnsi="Times New Roman"/>
          <w:sz w:val="24"/>
          <w:szCs w:val="24"/>
          <w:lang w:val="de"/>
        </w:rPr>
        <w:t>: auf etwas, was</w:t>
      </w:r>
      <w:r w:rsidR="00E47BF7">
        <w:rPr>
          <w:rFonts w:ascii="Times New Roman" w:hAnsi="Times New Roman"/>
          <w:sz w:val="24"/>
          <w:szCs w:val="24"/>
          <w:lang w:val="de"/>
        </w:rPr>
        <w:t xml:space="preserve"> es erst durch ihre Mimesis gibt.</w:t>
      </w:r>
    </w:p>
    <w:p w:rsidR="00A34BB3" w:rsidRDefault="009547E6" w:rsidP="00A34BB3">
      <w:pPr>
        <w:widowControl w:val="0"/>
        <w:autoSpaceDE w:val="0"/>
        <w:autoSpaceDN w:val="0"/>
        <w:adjustRightInd w:val="0"/>
        <w:spacing w:after="0" w:line="360" w:lineRule="auto"/>
        <w:rPr>
          <w:rFonts w:ascii="Times New Roman" w:hAnsi="Times New Roman"/>
          <w:sz w:val="24"/>
          <w:szCs w:val="24"/>
          <w:lang w:val="de"/>
        </w:rPr>
      </w:pPr>
      <w:r>
        <w:rPr>
          <w:rFonts w:ascii="Times New Roman" w:hAnsi="Times New Roman"/>
          <w:sz w:val="24"/>
          <w:szCs w:val="24"/>
          <w:lang w:val="de"/>
        </w:rPr>
        <w:tab/>
      </w:r>
      <w:r w:rsidR="00E47BF7">
        <w:rPr>
          <w:rFonts w:ascii="Times New Roman" w:hAnsi="Times New Roman"/>
          <w:sz w:val="24"/>
          <w:szCs w:val="24"/>
          <w:lang w:val="de"/>
        </w:rPr>
        <w:t>D</w:t>
      </w:r>
      <w:r w:rsidR="009E39EA">
        <w:rPr>
          <w:rFonts w:ascii="Times New Roman" w:hAnsi="Times New Roman"/>
          <w:sz w:val="24"/>
          <w:szCs w:val="24"/>
          <w:lang w:val="de"/>
        </w:rPr>
        <w:t>ie Zielsetzung</w:t>
      </w:r>
      <w:r w:rsidR="00E47BF7">
        <w:rPr>
          <w:rFonts w:ascii="Times New Roman" w:hAnsi="Times New Roman"/>
          <w:sz w:val="24"/>
          <w:szCs w:val="24"/>
          <w:lang w:val="de"/>
        </w:rPr>
        <w:t xml:space="preserve">, eine Bestandsaufnahme des ‚gegenwärtigen Stands der aktuellen kunstphilosophischen Debatten unter einer Einbeziehung der dialogischen Auseinandersetzung mit aktuellen künstlerischen Praktiken‘ zu bieten (vgl. 16), </w:t>
      </w:r>
      <w:r w:rsidR="009E39EA">
        <w:rPr>
          <w:rFonts w:ascii="Times New Roman" w:hAnsi="Times New Roman"/>
          <w:sz w:val="24"/>
          <w:szCs w:val="24"/>
          <w:lang w:val="de"/>
        </w:rPr>
        <w:t>setzt</w:t>
      </w:r>
      <w:r w:rsidR="00E47BF7">
        <w:rPr>
          <w:rFonts w:ascii="Times New Roman" w:hAnsi="Times New Roman"/>
          <w:sz w:val="24"/>
          <w:szCs w:val="24"/>
          <w:lang w:val="de"/>
        </w:rPr>
        <w:t xml:space="preserve"> das von Judith Siegmund vorgelegte Handbuch in souveräner Manier</w:t>
      </w:r>
      <w:r w:rsidR="009E39EA">
        <w:rPr>
          <w:rFonts w:ascii="Times New Roman" w:hAnsi="Times New Roman"/>
          <w:sz w:val="24"/>
          <w:szCs w:val="24"/>
          <w:lang w:val="de"/>
        </w:rPr>
        <w:t xml:space="preserve"> um</w:t>
      </w:r>
      <w:r w:rsidR="00E47BF7">
        <w:rPr>
          <w:rFonts w:ascii="Times New Roman" w:hAnsi="Times New Roman"/>
          <w:sz w:val="24"/>
          <w:szCs w:val="24"/>
          <w:lang w:val="de"/>
        </w:rPr>
        <w:t>.</w:t>
      </w:r>
      <w:r w:rsidR="00A01AC1">
        <w:rPr>
          <w:rFonts w:ascii="Times New Roman" w:hAnsi="Times New Roman"/>
          <w:sz w:val="24"/>
          <w:szCs w:val="24"/>
          <w:lang w:val="de"/>
        </w:rPr>
        <w:t xml:space="preserve"> Dabei sind die in den Beiträgen vornehmlich aufgesuchten Referenzen Kant und Hegel, Platon und Aristoteles – und insbesondere Adorno. Die Wirkung seiner Überlegungen – nicht nur der aus dem Nachlaß herausgegebenen „Ästhetischen Theorie“ – sind ungebrochen. Es versteht sich, daß zu dieser Wirkung gerade auch die Kritik an ihm gehört. Nicht wenige Beiträge ‚reiben‘ sich </w:t>
      </w:r>
      <w:r w:rsidR="00A01AC1">
        <w:rPr>
          <w:rFonts w:ascii="Times New Roman" w:hAnsi="Times New Roman"/>
          <w:sz w:val="24"/>
          <w:szCs w:val="24"/>
          <w:lang w:val="de"/>
        </w:rPr>
        <w:lastRenderedPageBreak/>
        <w:t xml:space="preserve">an seinen Arbeiten – wobei </w:t>
      </w:r>
      <w:r w:rsidR="00A34BB3">
        <w:rPr>
          <w:rFonts w:ascii="Times New Roman" w:hAnsi="Times New Roman"/>
          <w:sz w:val="24"/>
          <w:szCs w:val="24"/>
          <w:lang w:val="de"/>
        </w:rPr>
        <w:t xml:space="preserve">bisweilen zu fragen ist, worauf die ‚Entgrenzung‘ zielt, die seiner Kunstphilosophie </w:t>
      </w:r>
      <w:r w:rsidR="000625C7">
        <w:rPr>
          <w:rFonts w:ascii="Times New Roman" w:hAnsi="Times New Roman"/>
          <w:sz w:val="24"/>
          <w:szCs w:val="24"/>
          <w:lang w:val="de"/>
        </w:rPr>
        <w:t xml:space="preserve">und dem Widerstand gegen falsche Versöhnung </w:t>
      </w:r>
      <w:r w:rsidR="00C87154">
        <w:rPr>
          <w:rFonts w:ascii="Times New Roman" w:hAnsi="Times New Roman"/>
          <w:sz w:val="24"/>
          <w:szCs w:val="24"/>
          <w:lang w:val="de"/>
        </w:rPr>
        <w:t xml:space="preserve">z.B. S. 668 </w:t>
      </w:r>
      <w:r w:rsidR="00A34BB3">
        <w:rPr>
          <w:rFonts w:ascii="Times New Roman" w:hAnsi="Times New Roman"/>
          <w:sz w:val="24"/>
          <w:szCs w:val="24"/>
          <w:lang w:val="de"/>
        </w:rPr>
        <w:t>entgegengehalten wird.</w:t>
      </w:r>
    </w:p>
    <w:p w:rsidR="00C97818" w:rsidRDefault="00C87154" w:rsidP="000625C7">
      <w:pPr>
        <w:widowControl w:val="0"/>
        <w:autoSpaceDE w:val="0"/>
        <w:autoSpaceDN w:val="0"/>
        <w:adjustRightInd w:val="0"/>
        <w:spacing w:after="0" w:line="360" w:lineRule="auto"/>
        <w:ind w:firstLine="454"/>
        <w:rPr>
          <w:rFonts w:ascii="Times New Roman" w:hAnsi="Times New Roman"/>
          <w:sz w:val="24"/>
          <w:szCs w:val="24"/>
          <w:lang w:val="de"/>
        </w:rPr>
      </w:pPr>
      <w:r>
        <w:rPr>
          <w:rFonts w:ascii="Times New Roman" w:hAnsi="Times New Roman"/>
          <w:sz w:val="24"/>
          <w:szCs w:val="24"/>
          <w:lang w:val="de"/>
        </w:rPr>
        <w:t>Wenn wir schon bei Monita sind</w:t>
      </w:r>
      <w:r w:rsidR="009E39EA">
        <w:rPr>
          <w:rFonts w:ascii="Times New Roman" w:hAnsi="Times New Roman"/>
          <w:sz w:val="24"/>
          <w:szCs w:val="24"/>
          <w:lang w:val="de"/>
        </w:rPr>
        <w:t>. Da</w:t>
      </w:r>
      <w:r w:rsidR="000625C7">
        <w:rPr>
          <w:rFonts w:ascii="Times New Roman" w:hAnsi="Times New Roman"/>
          <w:sz w:val="24"/>
          <w:szCs w:val="24"/>
          <w:lang w:val="de"/>
        </w:rPr>
        <w:t>ss</w:t>
      </w:r>
      <w:r w:rsidR="009E39EA">
        <w:rPr>
          <w:rFonts w:ascii="Times New Roman" w:hAnsi="Times New Roman"/>
          <w:sz w:val="24"/>
          <w:szCs w:val="24"/>
          <w:lang w:val="de"/>
        </w:rPr>
        <w:t xml:space="preserve"> ein</w:t>
      </w:r>
      <w:r w:rsidR="00A34BB3">
        <w:rPr>
          <w:rFonts w:ascii="Times New Roman" w:hAnsi="Times New Roman"/>
          <w:sz w:val="24"/>
          <w:szCs w:val="24"/>
          <w:lang w:val="de"/>
        </w:rPr>
        <w:t xml:space="preserve"> Sachregister</w:t>
      </w:r>
      <w:r w:rsidR="009E39EA">
        <w:rPr>
          <w:rFonts w:ascii="Times New Roman" w:hAnsi="Times New Roman"/>
          <w:sz w:val="24"/>
          <w:szCs w:val="24"/>
          <w:lang w:val="de"/>
        </w:rPr>
        <w:t xml:space="preserve"> fehlt</w:t>
      </w:r>
      <w:r w:rsidR="00A34BB3">
        <w:rPr>
          <w:rFonts w:ascii="Times New Roman" w:hAnsi="Times New Roman"/>
          <w:sz w:val="24"/>
          <w:szCs w:val="24"/>
          <w:lang w:val="de"/>
        </w:rPr>
        <w:t xml:space="preserve">, </w:t>
      </w:r>
      <w:r w:rsidR="009E39EA">
        <w:rPr>
          <w:rFonts w:ascii="Times New Roman" w:hAnsi="Times New Roman"/>
          <w:sz w:val="24"/>
          <w:szCs w:val="24"/>
          <w:lang w:val="de"/>
        </w:rPr>
        <w:t xml:space="preserve">ist schade: es würde </w:t>
      </w:r>
      <w:r w:rsidR="00A34BB3">
        <w:rPr>
          <w:rFonts w:ascii="Times New Roman" w:hAnsi="Times New Roman"/>
          <w:sz w:val="24"/>
          <w:szCs w:val="24"/>
          <w:lang w:val="de"/>
        </w:rPr>
        <w:t xml:space="preserve">den </w:t>
      </w:r>
      <w:r w:rsidR="009E39EA">
        <w:rPr>
          <w:rFonts w:ascii="Times New Roman" w:hAnsi="Times New Roman"/>
          <w:sz w:val="24"/>
          <w:szCs w:val="24"/>
          <w:lang w:val="de"/>
        </w:rPr>
        <w:t>Nutzw</w:t>
      </w:r>
      <w:r w:rsidR="00A34BB3">
        <w:rPr>
          <w:rFonts w:ascii="Times New Roman" w:hAnsi="Times New Roman"/>
          <w:sz w:val="24"/>
          <w:szCs w:val="24"/>
          <w:lang w:val="de"/>
        </w:rPr>
        <w:t xml:space="preserve">ert </w:t>
      </w:r>
      <w:r>
        <w:rPr>
          <w:rFonts w:ascii="Times New Roman" w:hAnsi="Times New Roman"/>
          <w:sz w:val="24"/>
          <w:szCs w:val="24"/>
          <w:lang w:val="de"/>
        </w:rPr>
        <w:t xml:space="preserve">des vorgelegten Handbuchs </w:t>
      </w:r>
      <w:r w:rsidR="00A34BB3">
        <w:rPr>
          <w:rFonts w:ascii="Times New Roman" w:hAnsi="Times New Roman"/>
          <w:sz w:val="24"/>
          <w:szCs w:val="24"/>
          <w:lang w:val="de"/>
        </w:rPr>
        <w:t xml:space="preserve">als Arbeitsinstrument steigern. Ein zweites </w:t>
      </w:r>
      <w:r>
        <w:rPr>
          <w:rFonts w:ascii="Times New Roman" w:hAnsi="Times New Roman"/>
          <w:sz w:val="24"/>
          <w:szCs w:val="24"/>
          <w:lang w:val="de"/>
        </w:rPr>
        <w:t>Monitum</w:t>
      </w:r>
      <w:r w:rsidR="00A34BB3">
        <w:rPr>
          <w:rFonts w:ascii="Times New Roman" w:hAnsi="Times New Roman"/>
          <w:sz w:val="24"/>
          <w:szCs w:val="24"/>
          <w:lang w:val="de"/>
        </w:rPr>
        <w:t xml:space="preserve"> betrifft die Einbeziehung </w:t>
      </w:r>
      <w:r w:rsidR="009E39EA">
        <w:rPr>
          <w:rFonts w:ascii="Times New Roman" w:hAnsi="Times New Roman"/>
          <w:sz w:val="24"/>
          <w:szCs w:val="24"/>
          <w:lang w:val="de"/>
        </w:rPr>
        <w:t>der</w:t>
      </w:r>
      <w:r w:rsidR="00A93469">
        <w:rPr>
          <w:rFonts w:ascii="Times New Roman" w:hAnsi="Times New Roman"/>
          <w:sz w:val="24"/>
          <w:szCs w:val="24"/>
          <w:lang w:val="de"/>
        </w:rPr>
        <w:t xml:space="preserve"> 1000 Jahre zwischen Augustinus und Nikolaus v. Kues</w:t>
      </w:r>
      <w:r w:rsidR="009E39EA">
        <w:rPr>
          <w:rFonts w:ascii="Times New Roman" w:hAnsi="Times New Roman"/>
          <w:sz w:val="24"/>
          <w:szCs w:val="24"/>
          <w:lang w:val="de"/>
        </w:rPr>
        <w:t>.</w:t>
      </w:r>
      <w:r w:rsidR="009E39EA" w:rsidRPr="009E39EA">
        <w:rPr>
          <w:rFonts w:ascii="Times New Roman" w:hAnsi="Times New Roman"/>
          <w:sz w:val="24"/>
          <w:szCs w:val="24"/>
          <w:lang w:val="de"/>
        </w:rPr>
        <w:t xml:space="preserve"> </w:t>
      </w:r>
      <w:r w:rsidR="009E39EA">
        <w:rPr>
          <w:rFonts w:ascii="Times New Roman" w:hAnsi="Times New Roman"/>
          <w:sz w:val="24"/>
          <w:szCs w:val="24"/>
          <w:lang w:val="de"/>
        </w:rPr>
        <w:t>Die Epoche des mittelalterlichen Denkens findet</w:t>
      </w:r>
      <w:r w:rsidR="0038594A">
        <w:rPr>
          <w:rFonts w:ascii="Times New Roman" w:hAnsi="Times New Roman"/>
          <w:sz w:val="24"/>
          <w:szCs w:val="24"/>
          <w:lang w:val="de"/>
        </w:rPr>
        <w:t xml:space="preserve"> </w:t>
      </w:r>
      <w:r>
        <w:rPr>
          <w:rFonts w:ascii="Times New Roman" w:hAnsi="Times New Roman"/>
          <w:sz w:val="24"/>
          <w:szCs w:val="24"/>
          <w:lang w:val="de"/>
        </w:rPr>
        <w:t xml:space="preserve">nicht </w:t>
      </w:r>
      <w:r w:rsidR="0038594A">
        <w:rPr>
          <w:rFonts w:ascii="Times New Roman" w:hAnsi="Times New Roman"/>
          <w:sz w:val="24"/>
          <w:szCs w:val="24"/>
          <w:lang w:val="de"/>
        </w:rPr>
        <w:t xml:space="preserve">die Berücksichtigung, die </w:t>
      </w:r>
      <w:r w:rsidR="009E39EA">
        <w:rPr>
          <w:rFonts w:ascii="Times New Roman" w:hAnsi="Times New Roman"/>
          <w:sz w:val="24"/>
          <w:szCs w:val="24"/>
          <w:lang w:val="de"/>
        </w:rPr>
        <w:t>es</w:t>
      </w:r>
      <w:r w:rsidR="0038594A">
        <w:rPr>
          <w:rFonts w:ascii="Times New Roman" w:hAnsi="Times New Roman"/>
          <w:sz w:val="24"/>
          <w:szCs w:val="24"/>
          <w:lang w:val="de"/>
        </w:rPr>
        <w:t xml:space="preserve"> verdien</w:t>
      </w:r>
      <w:r w:rsidR="006C6346">
        <w:rPr>
          <w:rFonts w:ascii="Times New Roman" w:hAnsi="Times New Roman"/>
          <w:sz w:val="24"/>
          <w:szCs w:val="24"/>
          <w:lang w:val="de"/>
        </w:rPr>
        <w:t>t</w:t>
      </w:r>
      <w:r w:rsidR="0038594A">
        <w:rPr>
          <w:rFonts w:ascii="Times New Roman" w:hAnsi="Times New Roman"/>
          <w:sz w:val="24"/>
          <w:szCs w:val="24"/>
          <w:lang w:val="de"/>
        </w:rPr>
        <w:t>. Das</w:t>
      </w:r>
      <w:r w:rsidR="00C97818">
        <w:rPr>
          <w:rFonts w:ascii="Times New Roman" w:hAnsi="Times New Roman"/>
          <w:sz w:val="24"/>
          <w:szCs w:val="24"/>
          <w:lang w:val="de"/>
        </w:rPr>
        <w:t xml:space="preserve"> mag seinen Grund darin haben, da</w:t>
      </w:r>
      <w:r w:rsidR="000625C7">
        <w:rPr>
          <w:rFonts w:ascii="Times New Roman" w:hAnsi="Times New Roman"/>
          <w:sz w:val="24"/>
          <w:szCs w:val="24"/>
          <w:lang w:val="de"/>
        </w:rPr>
        <w:t>ss</w:t>
      </w:r>
      <w:r w:rsidR="00C97818">
        <w:rPr>
          <w:rFonts w:ascii="Times New Roman" w:hAnsi="Times New Roman"/>
          <w:sz w:val="24"/>
          <w:szCs w:val="24"/>
          <w:lang w:val="de"/>
        </w:rPr>
        <w:t xml:space="preserve"> </w:t>
      </w:r>
      <w:r w:rsidR="006C6346">
        <w:rPr>
          <w:rFonts w:ascii="Times New Roman" w:hAnsi="Times New Roman"/>
          <w:sz w:val="24"/>
          <w:szCs w:val="24"/>
          <w:lang w:val="de"/>
        </w:rPr>
        <w:t xml:space="preserve">ihm </w:t>
      </w:r>
      <w:r w:rsidR="00C97818">
        <w:rPr>
          <w:rFonts w:ascii="Times New Roman" w:hAnsi="Times New Roman"/>
          <w:sz w:val="24"/>
          <w:szCs w:val="24"/>
          <w:lang w:val="de"/>
        </w:rPr>
        <w:t xml:space="preserve">eine separate Kunstphilosophie fremd ist. In ihm haben die Überlegungen zum Schönen und zur Kunst </w:t>
      </w:r>
      <w:r>
        <w:rPr>
          <w:rFonts w:ascii="Times New Roman" w:hAnsi="Times New Roman"/>
          <w:sz w:val="24"/>
          <w:szCs w:val="24"/>
          <w:lang w:val="de"/>
        </w:rPr>
        <w:t xml:space="preserve">nur </w:t>
      </w:r>
      <w:r w:rsidR="00C97818">
        <w:rPr>
          <w:rFonts w:ascii="Times New Roman" w:hAnsi="Times New Roman"/>
          <w:sz w:val="24"/>
          <w:szCs w:val="24"/>
          <w:lang w:val="de"/>
        </w:rPr>
        <w:t>eher funktionale Bedeutung im Rahmen eines universalen, die erscheinende Natur als Schöpfung begreifenden Wirklichkeitsverständnisses. Aus diesem einschränkenden ‚nur‘ folgt aber umgekehrt, da</w:t>
      </w:r>
      <w:r w:rsidR="000625C7">
        <w:rPr>
          <w:rFonts w:ascii="Times New Roman" w:hAnsi="Times New Roman"/>
          <w:sz w:val="24"/>
          <w:szCs w:val="24"/>
          <w:lang w:val="de"/>
        </w:rPr>
        <w:t>ss</w:t>
      </w:r>
      <w:r w:rsidR="00C97818">
        <w:rPr>
          <w:rFonts w:ascii="Times New Roman" w:hAnsi="Times New Roman"/>
          <w:sz w:val="24"/>
          <w:szCs w:val="24"/>
          <w:lang w:val="de"/>
        </w:rPr>
        <w:t xml:space="preserve"> de</w:t>
      </w:r>
      <w:r w:rsidR="0038594A">
        <w:rPr>
          <w:rFonts w:ascii="Times New Roman" w:hAnsi="Times New Roman"/>
          <w:sz w:val="24"/>
          <w:szCs w:val="24"/>
          <w:lang w:val="de"/>
        </w:rPr>
        <w:t xml:space="preserve">r jeweiligen </w:t>
      </w:r>
      <w:proofErr w:type="spellStart"/>
      <w:r w:rsidR="0038594A" w:rsidRPr="0038594A">
        <w:rPr>
          <w:rFonts w:ascii="Times New Roman" w:hAnsi="Times New Roman"/>
          <w:i/>
          <w:sz w:val="24"/>
          <w:szCs w:val="24"/>
          <w:lang w:val="de"/>
        </w:rPr>
        <w:t>ars</w:t>
      </w:r>
      <w:proofErr w:type="spellEnd"/>
      <w:r w:rsidR="00C97818">
        <w:rPr>
          <w:rFonts w:ascii="Times New Roman" w:hAnsi="Times New Roman"/>
          <w:sz w:val="24"/>
          <w:szCs w:val="24"/>
          <w:lang w:val="de"/>
        </w:rPr>
        <w:t xml:space="preserve"> die Bedeutung zuwächst, diese Erfahrungswirklichkeit zu erschließen. </w:t>
      </w:r>
      <w:r w:rsidR="0038594A">
        <w:rPr>
          <w:rFonts w:ascii="Times New Roman" w:hAnsi="Times New Roman"/>
          <w:sz w:val="24"/>
          <w:szCs w:val="24"/>
          <w:lang w:val="de"/>
        </w:rPr>
        <w:t xml:space="preserve">Als Beispiel sei die architektonische Umsetzung der </w:t>
      </w:r>
      <w:r w:rsidR="00C97818">
        <w:rPr>
          <w:rFonts w:ascii="Times New Roman" w:hAnsi="Times New Roman"/>
          <w:sz w:val="24"/>
          <w:szCs w:val="24"/>
          <w:lang w:val="de"/>
        </w:rPr>
        <w:t xml:space="preserve">Licht-Metaphysik </w:t>
      </w:r>
      <w:r w:rsidR="0038594A">
        <w:rPr>
          <w:rFonts w:ascii="Times New Roman" w:hAnsi="Times New Roman"/>
          <w:sz w:val="24"/>
          <w:szCs w:val="24"/>
          <w:lang w:val="de"/>
        </w:rPr>
        <w:t xml:space="preserve">in soziale Erfahrungsräume erwähnt. Eine bessere Berücksichtigung </w:t>
      </w:r>
      <w:r>
        <w:rPr>
          <w:rFonts w:ascii="Times New Roman" w:hAnsi="Times New Roman"/>
          <w:sz w:val="24"/>
          <w:szCs w:val="24"/>
          <w:lang w:val="de"/>
        </w:rPr>
        <w:t xml:space="preserve">des ‚Mittelalters‘ </w:t>
      </w:r>
      <w:r w:rsidR="0038594A">
        <w:rPr>
          <w:rFonts w:ascii="Times New Roman" w:hAnsi="Times New Roman"/>
          <w:sz w:val="24"/>
          <w:szCs w:val="24"/>
          <w:lang w:val="de"/>
        </w:rPr>
        <w:t xml:space="preserve">hätte vermutlich auch die sachlich anachronistische Einschätzung korrigiert, mit der 601 die „Kunstauffassung“ </w:t>
      </w:r>
      <w:proofErr w:type="spellStart"/>
      <w:r w:rsidR="0038594A">
        <w:rPr>
          <w:rFonts w:ascii="Times New Roman" w:hAnsi="Times New Roman"/>
          <w:sz w:val="24"/>
          <w:szCs w:val="24"/>
          <w:lang w:val="de"/>
        </w:rPr>
        <w:t>Plot</w:t>
      </w:r>
      <w:r w:rsidR="000625C7">
        <w:rPr>
          <w:rFonts w:ascii="Times New Roman" w:hAnsi="Times New Roman"/>
          <w:sz w:val="24"/>
          <w:szCs w:val="24"/>
          <w:lang w:val="de"/>
        </w:rPr>
        <w:t>ins</w:t>
      </w:r>
      <w:proofErr w:type="spellEnd"/>
      <w:r w:rsidR="000625C7">
        <w:rPr>
          <w:rFonts w:ascii="Times New Roman" w:hAnsi="Times New Roman"/>
          <w:sz w:val="24"/>
          <w:szCs w:val="24"/>
          <w:lang w:val="de"/>
        </w:rPr>
        <w:t xml:space="preserve"> als für die „byzantinische [Kunstauffassung?]</w:t>
      </w:r>
      <w:r w:rsidR="0038594A">
        <w:rPr>
          <w:rFonts w:ascii="Times New Roman" w:hAnsi="Times New Roman"/>
          <w:sz w:val="24"/>
          <w:szCs w:val="24"/>
          <w:lang w:val="de"/>
        </w:rPr>
        <w:t xml:space="preserve"> bestimmend“ genannt wird.</w:t>
      </w:r>
    </w:p>
    <w:p w:rsidR="00C87154" w:rsidRPr="00DC246E" w:rsidRDefault="00C87154">
      <w:pPr>
        <w:widowControl w:val="0"/>
        <w:autoSpaceDE w:val="0"/>
        <w:autoSpaceDN w:val="0"/>
        <w:adjustRightInd w:val="0"/>
        <w:spacing w:after="0" w:line="360" w:lineRule="auto"/>
        <w:rPr>
          <w:rFonts w:ascii="Times New Roman" w:hAnsi="Times New Roman"/>
          <w:sz w:val="24"/>
          <w:szCs w:val="24"/>
          <w:lang w:val="de"/>
        </w:rPr>
      </w:pPr>
      <w:r>
        <w:rPr>
          <w:rFonts w:ascii="Times New Roman" w:hAnsi="Times New Roman"/>
          <w:sz w:val="24"/>
          <w:szCs w:val="24"/>
          <w:lang w:val="de"/>
        </w:rPr>
        <w:t xml:space="preserve">Diese beiden Monita schmälern jedoch die magistrale Leistung, </w:t>
      </w:r>
      <w:r w:rsidR="004430BD">
        <w:rPr>
          <w:rFonts w:ascii="Times New Roman" w:hAnsi="Times New Roman"/>
          <w:sz w:val="24"/>
          <w:szCs w:val="24"/>
          <w:lang w:val="de"/>
        </w:rPr>
        <w:t xml:space="preserve">die mit diesem Handbuch vorliegt und die das Zeug zum Standardwerk hat, in keiner Weise. Mit ihm ist eine Bestandsaufnahme gelungen, die </w:t>
      </w:r>
      <w:r w:rsidR="006C6346">
        <w:rPr>
          <w:rFonts w:ascii="Times New Roman" w:hAnsi="Times New Roman"/>
          <w:sz w:val="24"/>
          <w:szCs w:val="24"/>
          <w:lang w:val="de"/>
        </w:rPr>
        <w:t xml:space="preserve">umfassend informiert und </w:t>
      </w:r>
      <w:r w:rsidR="004430BD">
        <w:rPr>
          <w:rFonts w:ascii="Times New Roman" w:hAnsi="Times New Roman"/>
          <w:sz w:val="24"/>
          <w:szCs w:val="24"/>
          <w:lang w:val="de"/>
        </w:rPr>
        <w:t xml:space="preserve">zum </w:t>
      </w:r>
      <w:r w:rsidR="004430BD" w:rsidRPr="00DC246E">
        <w:rPr>
          <w:rFonts w:ascii="Times New Roman" w:hAnsi="Times New Roman"/>
          <w:sz w:val="24"/>
          <w:szCs w:val="24"/>
          <w:lang w:val="de"/>
        </w:rPr>
        <w:t>Nachdenken einlädt.</w:t>
      </w:r>
    </w:p>
    <w:p w:rsidR="004430BD" w:rsidRDefault="004430BD">
      <w:pPr>
        <w:widowControl w:val="0"/>
        <w:autoSpaceDE w:val="0"/>
        <w:autoSpaceDN w:val="0"/>
        <w:adjustRightInd w:val="0"/>
        <w:spacing w:after="0" w:line="360" w:lineRule="auto"/>
        <w:rPr>
          <w:rFonts w:ascii="Times New Roman" w:hAnsi="Times New Roman"/>
          <w:sz w:val="24"/>
          <w:szCs w:val="24"/>
          <w:lang w:val="de"/>
        </w:rPr>
      </w:pPr>
    </w:p>
    <w:p w:rsidR="00F134AD" w:rsidRPr="00DC246E" w:rsidRDefault="00F134AD">
      <w:pPr>
        <w:widowControl w:val="0"/>
        <w:autoSpaceDE w:val="0"/>
        <w:autoSpaceDN w:val="0"/>
        <w:adjustRightInd w:val="0"/>
        <w:spacing w:after="0" w:line="360" w:lineRule="auto"/>
        <w:rPr>
          <w:rFonts w:ascii="Times New Roman" w:hAnsi="Times New Roman"/>
          <w:sz w:val="24"/>
          <w:szCs w:val="24"/>
          <w:lang w:val="de"/>
        </w:rPr>
      </w:pPr>
      <w:bookmarkStart w:id="0" w:name="_GoBack"/>
      <w:bookmarkEnd w:id="0"/>
    </w:p>
    <w:p w:rsidR="00DC246E" w:rsidRPr="00D11A6C" w:rsidRDefault="00DC246E" w:rsidP="00DC246E">
      <w:pPr>
        <w:tabs>
          <w:tab w:val="left" w:pos="0"/>
          <w:tab w:val="left" w:pos="425"/>
          <w:tab w:val="left" w:pos="720"/>
        </w:tabs>
        <w:suppressAutoHyphens/>
        <w:spacing w:after="0" w:line="240" w:lineRule="auto"/>
        <w:jc w:val="both"/>
        <w:rPr>
          <w:rFonts w:ascii="Times New Roman" w:hAnsi="Times New Roman"/>
          <w:spacing w:val="-3"/>
        </w:rPr>
      </w:pPr>
      <w:r w:rsidRPr="00D11A6C">
        <w:rPr>
          <w:rFonts w:ascii="Times New Roman" w:hAnsi="Times New Roman"/>
          <w:spacing w:val="-3"/>
        </w:rPr>
        <w:t>Prof. Dr. Johann Kreuzer</w:t>
      </w:r>
    </w:p>
    <w:p w:rsidR="00D11A6C" w:rsidRPr="00D11A6C" w:rsidRDefault="00D11A6C" w:rsidP="00DC246E">
      <w:pPr>
        <w:tabs>
          <w:tab w:val="left" w:pos="0"/>
          <w:tab w:val="left" w:pos="425"/>
          <w:tab w:val="left" w:pos="720"/>
        </w:tabs>
        <w:suppressAutoHyphens/>
        <w:spacing w:after="0" w:line="240" w:lineRule="auto"/>
        <w:jc w:val="both"/>
        <w:rPr>
          <w:rFonts w:ascii="Times New Roman" w:hAnsi="Times New Roman"/>
          <w:spacing w:val="-3"/>
        </w:rPr>
      </w:pPr>
      <w:r w:rsidRPr="00D11A6C">
        <w:rPr>
          <w:rFonts w:ascii="Times New Roman" w:hAnsi="Times New Roman"/>
          <w:spacing w:val="-3"/>
        </w:rPr>
        <w:t>Institut für Philosophie</w:t>
      </w:r>
    </w:p>
    <w:p w:rsidR="00DC246E" w:rsidRPr="00D11A6C" w:rsidRDefault="00DC246E" w:rsidP="00DC246E">
      <w:pPr>
        <w:tabs>
          <w:tab w:val="left" w:pos="0"/>
          <w:tab w:val="left" w:pos="425"/>
          <w:tab w:val="left" w:pos="720"/>
        </w:tabs>
        <w:suppressAutoHyphens/>
        <w:spacing w:after="0" w:line="240" w:lineRule="auto"/>
        <w:jc w:val="both"/>
        <w:rPr>
          <w:rFonts w:ascii="Times New Roman" w:hAnsi="Times New Roman"/>
          <w:spacing w:val="-3"/>
        </w:rPr>
      </w:pPr>
      <w:r w:rsidRPr="00D11A6C">
        <w:rPr>
          <w:rFonts w:ascii="Times New Roman" w:hAnsi="Times New Roman"/>
          <w:spacing w:val="-3"/>
        </w:rPr>
        <w:t>Carl von Ossietzky Universität Oldenburg</w:t>
      </w:r>
    </w:p>
    <w:p w:rsidR="00D11A6C" w:rsidRPr="00D11A6C" w:rsidRDefault="00D11A6C" w:rsidP="00DC246E">
      <w:pPr>
        <w:tabs>
          <w:tab w:val="left" w:pos="0"/>
          <w:tab w:val="left" w:pos="425"/>
          <w:tab w:val="left" w:pos="720"/>
        </w:tabs>
        <w:suppressAutoHyphens/>
        <w:spacing w:after="0" w:line="240" w:lineRule="auto"/>
        <w:jc w:val="both"/>
        <w:rPr>
          <w:rFonts w:ascii="Times New Roman" w:hAnsi="Times New Roman"/>
          <w:spacing w:val="-3"/>
        </w:rPr>
      </w:pPr>
      <w:r w:rsidRPr="00D11A6C">
        <w:rPr>
          <w:rFonts w:ascii="Times New Roman" w:hAnsi="Times New Roman"/>
          <w:spacing w:val="-3"/>
        </w:rPr>
        <w:t>26046 Oldenburg</w:t>
      </w:r>
    </w:p>
    <w:p w:rsidR="004430BD" w:rsidRPr="00D11A6C" w:rsidRDefault="00D11A6C" w:rsidP="00DC246E">
      <w:pPr>
        <w:widowControl w:val="0"/>
        <w:autoSpaceDE w:val="0"/>
        <w:autoSpaceDN w:val="0"/>
        <w:adjustRightInd w:val="0"/>
        <w:spacing w:after="0" w:line="360" w:lineRule="auto"/>
        <w:rPr>
          <w:rFonts w:ascii="Times New Roman" w:hAnsi="Times New Roman"/>
          <w:spacing w:val="-3"/>
        </w:rPr>
      </w:pPr>
      <w:proofErr w:type="spellStart"/>
      <w:r w:rsidRPr="00D11A6C">
        <w:rPr>
          <w:rFonts w:ascii="Times New Roman" w:hAnsi="Times New Roman"/>
        </w:rPr>
        <w:t>E-mail</w:t>
      </w:r>
      <w:proofErr w:type="spellEnd"/>
      <w:r w:rsidRPr="00D11A6C">
        <w:rPr>
          <w:rFonts w:ascii="Times New Roman" w:hAnsi="Times New Roman"/>
        </w:rPr>
        <w:t xml:space="preserve">: </w:t>
      </w:r>
      <w:hyperlink r:id="rId8" w:history="1">
        <w:r w:rsidR="00F134AD" w:rsidRPr="00D11A6C">
          <w:rPr>
            <w:rStyle w:val="Hyperlink"/>
            <w:rFonts w:ascii="Times New Roman" w:hAnsi="Times New Roman"/>
            <w:spacing w:val="-3"/>
          </w:rPr>
          <w:t>johann.kreuzer@uni-oldenburg.de</w:t>
        </w:r>
      </w:hyperlink>
    </w:p>
    <w:p w:rsidR="00F134AD" w:rsidRPr="00D11A6C" w:rsidRDefault="00F134AD" w:rsidP="00DC246E">
      <w:pPr>
        <w:widowControl w:val="0"/>
        <w:autoSpaceDE w:val="0"/>
        <w:autoSpaceDN w:val="0"/>
        <w:adjustRightInd w:val="0"/>
        <w:spacing w:after="0" w:line="360" w:lineRule="auto"/>
        <w:rPr>
          <w:rFonts w:ascii="Times New Roman" w:hAnsi="Times New Roman"/>
          <w:lang w:val="de"/>
        </w:rPr>
      </w:pPr>
    </w:p>
    <w:sectPr w:rsidR="00F134AD" w:rsidRPr="00D11A6C" w:rsidSect="00FB3990">
      <w:footerReference w:type="default" r:id="rId9"/>
      <w:pgSz w:w="11906" w:h="16838" w:code="9"/>
      <w:pgMar w:top="1417" w:right="1417" w:bottom="1134" w:left="1417"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7C4" w:rsidRDefault="000E27C4" w:rsidP="004F2A5E">
      <w:pPr>
        <w:spacing w:after="0" w:line="240" w:lineRule="auto"/>
      </w:pPr>
      <w:r>
        <w:separator/>
      </w:r>
    </w:p>
  </w:endnote>
  <w:endnote w:type="continuationSeparator" w:id="0">
    <w:p w:rsidR="000E27C4" w:rsidRDefault="000E27C4" w:rsidP="004F2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A5E" w:rsidRPr="004F2A5E" w:rsidRDefault="004F2A5E">
    <w:pPr>
      <w:pStyle w:val="Fuzeile"/>
      <w:jc w:val="right"/>
      <w:rPr>
        <w:rFonts w:ascii="Times New Roman" w:hAnsi="Times New Roman"/>
      </w:rPr>
    </w:pPr>
    <w:r w:rsidRPr="004F2A5E">
      <w:rPr>
        <w:rFonts w:ascii="Times New Roman" w:hAnsi="Times New Roman"/>
      </w:rPr>
      <w:fldChar w:fldCharType="begin"/>
    </w:r>
    <w:r w:rsidRPr="004F2A5E">
      <w:rPr>
        <w:rFonts w:ascii="Times New Roman" w:hAnsi="Times New Roman"/>
      </w:rPr>
      <w:instrText>PAGE   \* MERGEFORMAT</w:instrText>
    </w:r>
    <w:r w:rsidRPr="004F2A5E">
      <w:rPr>
        <w:rFonts w:ascii="Times New Roman" w:hAnsi="Times New Roman"/>
      </w:rPr>
      <w:fldChar w:fldCharType="separate"/>
    </w:r>
    <w:r w:rsidR="00D11A6C">
      <w:rPr>
        <w:rFonts w:ascii="Times New Roman" w:hAnsi="Times New Roman"/>
        <w:noProof/>
      </w:rPr>
      <w:t>7</w:t>
    </w:r>
    <w:r w:rsidRPr="004F2A5E">
      <w:rPr>
        <w:rFonts w:ascii="Times New Roman" w:hAnsi="Times New Roman"/>
      </w:rPr>
      <w:fldChar w:fldCharType="end"/>
    </w:r>
  </w:p>
  <w:p w:rsidR="004F2A5E" w:rsidRDefault="004F2A5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7C4" w:rsidRDefault="000E27C4" w:rsidP="004F2A5E">
      <w:pPr>
        <w:spacing w:after="0" w:line="240" w:lineRule="auto"/>
      </w:pPr>
      <w:r>
        <w:separator/>
      </w:r>
    </w:p>
  </w:footnote>
  <w:footnote w:type="continuationSeparator" w:id="0">
    <w:p w:rsidR="000E27C4" w:rsidRDefault="000E27C4" w:rsidP="004F2A5E">
      <w:pPr>
        <w:spacing w:after="0" w:line="240" w:lineRule="auto"/>
      </w:pPr>
      <w:r>
        <w:continuationSeparator/>
      </w:r>
    </w:p>
  </w:footnote>
  <w:footnote w:id="1">
    <w:p w:rsidR="009E39EA" w:rsidRPr="006748CB" w:rsidRDefault="009E39EA" w:rsidP="009E39EA">
      <w:pPr>
        <w:pStyle w:val="Funotentext"/>
        <w:spacing w:after="0"/>
        <w:rPr>
          <w:rFonts w:ascii="Times New Roman" w:hAnsi="Times New Roman"/>
          <w:sz w:val="22"/>
          <w:szCs w:val="22"/>
        </w:rPr>
      </w:pPr>
      <w:r w:rsidRPr="006748CB">
        <w:rPr>
          <w:rStyle w:val="Funotenzeichen"/>
          <w:rFonts w:ascii="Times New Roman" w:hAnsi="Times New Roman"/>
          <w:sz w:val="22"/>
          <w:szCs w:val="22"/>
        </w:rPr>
        <w:footnoteRef/>
      </w:r>
      <w:r w:rsidRPr="006748CB">
        <w:rPr>
          <w:rFonts w:ascii="Times New Roman" w:hAnsi="Times New Roman"/>
          <w:sz w:val="22"/>
          <w:szCs w:val="22"/>
        </w:rPr>
        <w:t xml:space="preserve"> Vgl. Aristoteles, Poetik 9.</w:t>
      </w:r>
    </w:p>
  </w:footnote>
  <w:footnote w:id="2">
    <w:p w:rsidR="004F2A5E" w:rsidRPr="006748CB" w:rsidRDefault="004F2A5E" w:rsidP="004F2A5E">
      <w:pPr>
        <w:pStyle w:val="Funotentext"/>
        <w:spacing w:after="0"/>
        <w:rPr>
          <w:rFonts w:ascii="Times New Roman" w:hAnsi="Times New Roman"/>
          <w:sz w:val="22"/>
          <w:szCs w:val="22"/>
        </w:rPr>
      </w:pPr>
      <w:r w:rsidRPr="006748CB">
        <w:rPr>
          <w:rStyle w:val="Funotenzeichen"/>
          <w:rFonts w:ascii="Times New Roman" w:hAnsi="Times New Roman"/>
          <w:sz w:val="22"/>
          <w:szCs w:val="22"/>
        </w:rPr>
        <w:footnoteRef/>
      </w:r>
      <w:r w:rsidRPr="006748CB">
        <w:rPr>
          <w:rFonts w:ascii="Times New Roman" w:hAnsi="Times New Roman"/>
          <w:sz w:val="22"/>
          <w:szCs w:val="22"/>
        </w:rPr>
        <w:t xml:space="preserve"> Vgl. T.W. Adorno, Ästhetische Theorie. </w:t>
      </w:r>
      <w:proofErr w:type="spellStart"/>
      <w:r w:rsidRPr="006748CB">
        <w:rPr>
          <w:rFonts w:ascii="Times New Roman" w:hAnsi="Times New Roman"/>
          <w:sz w:val="22"/>
          <w:szCs w:val="22"/>
        </w:rPr>
        <w:t>Hg</w:t>
      </w:r>
      <w:proofErr w:type="spellEnd"/>
      <w:r w:rsidRPr="006748CB">
        <w:rPr>
          <w:rFonts w:ascii="Times New Roman" w:hAnsi="Times New Roman"/>
          <w:sz w:val="22"/>
          <w:szCs w:val="22"/>
        </w:rPr>
        <w:t>. v. G. Adorno u. R. Tiedemann, Frankfurt/M. 1970, S. 9.</w:t>
      </w:r>
    </w:p>
  </w:footnote>
  <w:footnote w:id="3">
    <w:p w:rsidR="006748CB" w:rsidRPr="00AA3BB5" w:rsidRDefault="006748CB">
      <w:pPr>
        <w:pStyle w:val="Funotentext"/>
        <w:rPr>
          <w:rFonts w:ascii="Times New Roman" w:hAnsi="Times New Roman"/>
          <w:sz w:val="22"/>
          <w:szCs w:val="22"/>
        </w:rPr>
      </w:pPr>
      <w:r w:rsidRPr="006748CB">
        <w:rPr>
          <w:rStyle w:val="Funotenzeichen"/>
          <w:rFonts w:ascii="Times New Roman" w:hAnsi="Times New Roman"/>
          <w:sz w:val="22"/>
          <w:szCs w:val="22"/>
        </w:rPr>
        <w:footnoteRef/>
      </w:r>
      <w:r w:rsidRPr="006748CB">
        <w:rPr>
          <w:rFonts w:ascii="Times New Roman" w:hAnsi="Times New Roman"/>
          <w:sz w:val="22"/>
          <w:szCs w:val="22"/>
        </w:rPr>
        <w:t xml:space="preserve"> Vgl. Wissenschaft der Logik. Die Lehre vom Wesen. Zweiter A</w:t>
      </w:r>
      <w:r w:rsidRPr="00AA3BB5">
        <w:rPr>
          <w:rFonts w:ascii="Times New Roman" w:hAnsi="Times New Roman"/>
          <w:sz w:val="22"/>
          <w:szCs w:val="22"/>
        </w:rPr>
        <w:t>bschnitt. Die Erscheinung.</w:t>
      </w:r>
    </w:p>
  </w:footnote>
  <w:footnote w:id="4">
    <w:p w:rsidR="00D124F0" w:rsidRDefault="00D124F0">
      <w:pPr>
        <w:pStyle w:val="Funotentext"/>
      </w:pPr>
      <w:r w:rsidRPr="00AA3BB5">
        <w:rPr>
          <w:rStyle w:val="Funotenzeichen"/>
          <w:rFonts w:ascii="Times New Roman" w:hAnsi="Times New Roman"/>
          <w:sz w:val="22"/>
          <w:szCs w:val="22"/>
        </w:rPr>
        <w:footnoteRef/>
      </w:r>
      <w:r w:rsidRPr="00AA3BB5">
        <w:rPr>
          <w:rFonts w:ascii="Times New Roman" w:hAnsi="Times New Roman"/>
          <w:sz w:val="22"/>
          <w:szCs w:val="22"/>
        </w:rPr>
        <w:t xml:space="preserve"> </w:t>
      </w:r>
      <w:r w:rsidR="00A23907" w:rsidRPr="00AA3BB5">
        <w:rPr>
          <w:rFonts w:ascii="Times New Roman" w:hAnsi="Times New Roman"/>
          <w:sz w:val="22"/>
          <w:szCs w:val="22"/>
        </w:rPr>
        <w:t>Zum Begriff der „Zweckmäßigkeit“ als „Gesetzlichkeit des Zufälligen“ vgl. Kant, Kritik der Urteilskraft, § 76</w:t>
      </w:r>
      <w:r w:rsidR="00AA3BB5" w:rsidRPr="00AA3BB5">
        <w:rPr>
          <w:rFonts w:ascii="Times New Roman" w:hAnsi="Times New Roman"/>
          <w:sz w:val="22"/>
          <w:szCs w:val="22"/>
        </w:rPr>
        <w:t>.</w:t>
      </w:r>
    </w:p>
  </w:footnote>
  <w:footnote w:id="5">
    <w:p w:rsidR="00B25719" w:rsidRDefault="00B25719" w:rsidP="00B25719">
      <w:pPr>
        <w:pStyle w:val="Funotentext"/>
        <w:spacing w:line="240" w:lineRule="auto"/>
        <w:jc w:val="both"/>
      </w:pPr>
      <w:r>
        <w:rPr>
          <w:rStyle w:val="Funotenzeichen"/>
        </w:rPr>
        <w:footnoteRef/>
      </w:r>
      <w:r>
        <w:t xml:space="preserve"> </w:t>
      </w:r>
      <w:r>
        <w:rPr>
          <w:rFonts w:ascii="Times New Roman" w:hAnsi="Times New Roman"/>
          <w:spacing w:val="-3"/>
          <w:sz w:val="24"/>
          <w:szCs w:val="24"/>
        </w:rPr>
        <w:t xml:space="preserve">Hegel, Vorlesungen über die Geschichte der Philosophie, </w:t>
      </w:r>
      <w:r w:rsidR="008B0498">
        <w:rPr>
          <w:rFonts w:ascii="Times New Roman" w:hAnsi="Times New Roman"/>
          <w:spacing w:val="-3"/>
          <w:sz w:val="24"/>
          <w:szCs w:val="24"/>
        </w:rPr>
        <w:t>Einleitung</w:t>
      </w:r>
      <w:r>
        <w:rPr>
          <w:rFonts w:ascii="Times New Roman" w:hAnsi="Times New Roman"/>
          <w:spacing w:val="-3"/>
          <w:sz w:val="24"/>
          <w:szCs w:val="24"/>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embedSystemFonts/>
  <w:bordersDoNotSurroundHeader/>
  <w:bordersDoNotSurroundFooter/>
  <w:proofState w:spelling="clean" w:grammar="clean"/>
  <w:defaultTabStop w:val="454"/>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1B9"/>
    <w:rsid w:val="000625C7"/>
    <w:rsid w:val="0006413C"/>
    <w:rsid w:val="00077AAD"/>
    <w:rsid w:val="0009475C"/>
    <w:rsid w:val="000E27C4"/>
    <w:rsid w:val="00104F37"/>
    <w:rsid w:val="00137831"/>
    <w:rsid w:val="001B7CBC"/>
    <w:rsid w:val="001C3AFD"/>
    <w:rsid w:val="001D6369"/>
    <w:rsid w:val="00203CF5"/>
    <w:rsid w:val="00221635"/>
    <w:rsid w:val="00225801"/>
    <w:rsid w:val="002F4BEE"/>
    <w:rsid w:val="00345E79"/>
    <w:rsid w:val="0038594A"/>
    <w:rsid w:val="003906B9"/>
    <w:rsid w:val="003A1894"/>
    <w:rsid w:val="003C373D"/>
    <w:rsid w:val="003D0FCE"/>
    <w:rsid w:val="003D10AE"/>
    <w:rsid w:val="004430BD"/>
    <w:rsid w:val="004449BA"/>
    <w:rsid w:val="004C323F"/>
    <w:rsid w:val="004F2A5E"/>
    <w:rsid w:val="00510615"/>
    <w:rsid w:val="0051448B"/>
    <w:rsid w:val="0055489E"/>
    <w:rsid w:val="00557D64"/>
    <w:rsid w:val="005979FB"/>
    <w:rsid w:val="005B37E9"/>
    <w:rsid w:val="006017CE"/>
    <w:rsid w:val="006038F3"/>
    <w:rsid w:val="00603AAF"/>
    <w:rsid w:val="006748CB"/>
    <w:rsid w:val="006C4F62"/>
    <w:rsid w:val="006C6346"/>
    <w:rsid w:val="0071333D"/>
    <w:rsid w:val="0077318C"/>
    <w:rsid w:val="007E6524"/>
    <w:rsid w:val="008031B9"/>
    <w:rsid w:val="00821F26"/>
    <w:rsid w:val="008B0498"/>
    <w:rsid w:val="009547E6"/>
    <w:rsid w:val="00983FB3"/>
    <w:rsid w:val="009D4739"/>
    <w:rsid w:val="009E39EA"/>
    <w:rsid w:val="00A01AC1"/>
    <w:rsid w:val="00A23907"/>
    <w:rsid w:val="00A26B90"/>
    <w:rsid w:val="00A34BB3"/>
    <w:rsid w:val="00A43962"/>
    <w:rsid w:val="00A74A55"/>
    <w:rsid w:val="00A82162"/>
    <w:rsid w:val="00A93469"/>
    <w:rsid w:val="00AA3BB5"/>
    <w:rsid w:val="00AD147D"/>
    <w:rsid w:val="00AE395B"/>
    <w:rsid w:val="00B0296A"/>
    <w:rsid w:val="00B25719"/>
    <w:rsid w:val="00B507A3"/>
    <w:rsid w:val="00BA6608"/>
    <w:rsid w:val="00BC027A"/>
    <w:rsid w:val="00BF3B41"/>
    <w:rsid w:val="00C1417C"/>
    <w:rsid w:val="00C66B56"/>
    <w:rsid w:val="00C87154"/>
    <w:rsid w:val="00C97818"/>
    <w:rsid w:val="00CA369D"/>
    <w:rsid w:val="00CF00D6"/>
    <w:rsid w:val="00D11A6C"/>
    <w:rsid w:val="00D124F0"/>
    <w:rsid w:val="00D34A85"/>
    <w:rsid w:val="00D4027A"/>
    <w:rsid w:val="00D8192F"/>
    <w:rsid w:val="00DA60A0"/>
    <w:rsid w:val="00DC246E"/>
    <w:rsid w:val="00E438BF"/>
    <w:rsid w:val="00E47BF7"/>
    <w:rsid w:val="00E57B67"/>
    <w:rsid w:val="00F134AD"/>
    <w:rsid w:val="00F65F2C"/>
    <w:rsid w:val="00FB3990"/>
    <w:rsid w:val="00FE60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4F2A5E"/>
    <w:rPr>
      <w:sz w:val="20"/>
      <w:szCs w:val="20"/>
    </w:rPr>
  </w:style>
  <w:style w:type="character" w:customStyle="1" w:styleId="FunotentextZchn">
    <w:name w:val="Fußnotentext Zchn"/>
    <w:basedOn w:val="Absatz-Standardschriftart"/>
    <w:link w:val="Funotentext"/>
    <w:uiPriority w:val="99"/>
    <w:semiHidden/>
    <w:rsid w:val="004F2A5E"/>
  </w:style>
  <w:style w:type="character" w:styleId="Funotenzeichen">
    <w:name w:val="footnote reference"/>
    <w:uiPriority w:val="99"/>
    <w:semiHidden/>
    <w:unhideWhenUsed/>
    <w:rsid w:val="004F2A5E"/>
    <w:rPr>
      <w:vertAlign w:val="superscript"/>
    </w:rPr>
  </w:style>
  <w:style w:type="paragraph" w:styleId="Kopfzeile">
    <w:name w:val="header"/>
    <w:basedOn w:val="Standard"/>
    <w:link w:val="KopfzeileZchn"/>
    <w:uiPriority w:val="99"/>
    <w:unhideWhenUsed/>
    <w:rsid w:val="004F2A5E"/>
    <w:pPr>
      <w:tabs>
        <w:tab w:val="center" w:pos="4536"/>
        <w:tab w:val="right" w:pos="9072"/>
      </w:tabs>
    </w:pPr>
  </w:style>
  <w:style w:type="character" w:customStyle="1" w:styleId="KopfzeileZchn">
    <w:name w:val="Kopfzeile Zchn"/>
    <w:link w:val="Kopfzeile"/>
    <w:uiPriority w:val="99"/>
    <w:rsid w:val="004F2A5E"/>
    <w:rPr>
      <w:sz w:val="22"/>
      <w:szCs w:val="22"/>
    </w:rPr>
  </w:style>
  <w:style w:type="paragraph" w:styleId="Fuzeile">
    <w:name w:val="footer"/>
    <w:basedOn w:val="Standard"/>
    <w:link w:val="FuzeileZchn"/>
    <w:uiPriority w:val="99"/>
    <w:unhideWhenUsed/>
    <w:rsid w:val="004F2A5E"/>
    <w:pPr>
      <w:tabs>
        <w:tab w:val="center" w:pos="4536"/>
        <w:tab w:val="right" w:pos="9072"/>
      </w:tabs>
    </w:pPr>
  </w:style>
  <w:style w:type="character" w:customStyle="1" w:styleId="FuzeileZchn">
    <w:name w:val="Fußzeile Zchn"/>
    <w:link w:val="Fuzeile"/>
    <w:uiPriority w:val="99"/>
    <w:rsid w:val="004F2A5E"/>
    <w:rPr>
      <w:sz w:val="22"/>
      <w:szCs w:val="22"/>
    </w:rPr>
  </w:style>
  <w:style w:type="paragraph" w:styleId="Sprechblasentext">
    <w:name w:val="Balloon Text"/>
    <w:basedOn w:val="Standard"/>
    <w:link w:val="SprechblasentextZchn"/>
    <w:uiPriority w:val="99"/>
    <w:semiHidden/>
    <w:unhideWhenUsed/>
    <w:rsid w:val="001D6369"/>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1D6369"/>
    <w:rPr>
      <w:rFonts w:ascii="Tahoma" w:hAnsi="Tahoma" w:cs="Tahoma"/>
      <w:sz w:val="16"/>
      <w:szCs w:val="16"/>
    </w:rPr>
  </w:style>
  <w:style w:type="character" w:styleId="Hyperlink">
    <w:name w:val="Hyperlink"/>
    <w:basedOn w:val="Absatz-Standardschriftart"/>
    <w:uiPriority w:val="99"/>
    <w:unhideWhenUsed/>
    <w:rsid w:val="00F134A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4F2A5E"/>
    <w:rPr>
      <w:sz w:val="20"/>
      <w:szCs w:val="20"/>
    </w:rPr>
  </w:style>
  <w:style w:type="character" w:customStyle="1" w:styleId="FunotentextZchn">
    <w:name w:val="Fußnotentext Zchn"/>
    <w:basedOn w:val="Absatz-Standardschriftart"/>
    <w:link w:val="Funotentext"/>
    <w:uiPriority w:val="99"/>
    <w:semiHidden/>
    <w:rsid w:val="004F2A5E"/>
  </w:style>
  <w:style w:type="character" w:styleId="Funotenzeichen">
    <w:name w:val="footnote reference"/>
    <w:uiPriority w:val="99"/>
    <w:semiHidden/>
    <w:unhideWhenUsed/>
    <w:rsid w:val="004F2A5E"/>
    <w:rPr>
      <w:vertAlign w:val="superscript"/>
    </w:rPr>
  </w:style>
  <w:style w:type="paragraph" w:styleId="Kopfzeile">
    <w:name w:val="header"/>
    <w:basedOn w:val="Standard"/>
    <w:link w:val="KopfzeileZchn"/>
    <w:uiPriority w:val="99"/>
    <w:unhideWhenUsed/>
    <w:rsid w:val="004F2A5E"/>
    <w:pPr>
      <w:tabs>
        <w:tab w:val="center" w:pos="4536"/>
        <w:tab w:val="right" w:pos="9072"/>
      </w:tabs>
    </w:pPr>
  </w:style>
  <w:style w:type="character" w:customStyle="1" w:styleId="KopfzeileZchn">
    <w:name w:val="Kopfzeile Zchn"/>
    <w:link w:val="Kopfzeile"/>
    <w:uiPriority w:val="99"/>
    <w:rsid w:val="004F2A5E"/>
    <w:rPr>
      <w:sz w:val="22"/>
      <w:szCs w:val="22"/>
    </w:rPr>
  </w:style>
  <w:style w:type="paragraph" w:styleId="Fuzeile">
    <w:name w:val="footer"/>
    <w:basedOn w:val="Standard"/>
    <w:link w:val="FuzeileZchn"/>
    <w:uiPriority w:val="99"/>
    <w:unhideWhenUsed/>
    <w:rsid w:val="004F2A5E"/>
    <w:pPr>
      <w:tabs>
        <w:tab w:val="center" w:pos="4536"/>
        <w:tab w:val="right" w:pos="9072"/>
      </w:tabs>
    </w:pPr>
  </w:style>
  <w:style w:type="character" w:customStyle="1" w:styleId="FuzeileZchn">
    <w:name w:val="Fußzeile Zchn"/>
    <w:link w:val="Fuzeile"/>
    <w:uiPriority w:val="99"/>
    <w:rsid w:val="004F2A5E"/>
    <w:rPr>
      <w:sz w:val="22"/>
      <w:szCs w:val="22"/>
    </w:rPr>
  </w:style>
  <w:style w:type="paragraph" w:styleId="Sprechblasentext">
    <w:name w:val="Balloon Text"/>
    <w:basedOn w:val="Standard"/>
    <w:link w:val="SprechblasentextZchn"/>
    <w:uiPriority w:val="99"/>
    <w:semiHidden/>
    <w:unhideWhenUsed/>
    <w:rsid w:val="001D6369"/>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1D6369"/>
    <w:rPr>
      <w:rFonts w:ascii="Tahoma" w:hAnsi="Tahoma" w:cs="Tahoma"/>
      <w:sz w:val="16"/>
      <w:szCs w:val="16"/>
    </w:rPr>
  </w:style>
  <w:style w:type="character" w:styleId="Hyperlink">
    <w:name w:val="Hyperlink"/>
    <w:basedOn w:val="Absatz-Standardschriftart"/>
    <w:uiPriority w:val="99"/>
    <w:unhideWhenUsed/>
    <w:rsid w:val="00F134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ann.kreuzer@uni-oldenburg.d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F866E-299F-4BFE-9719-CBAC3759B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2295</Words>
  <Characters>15403</Characters>
  <Application>Microsoft Office Word</Application>
  <DocSecurity>0</DocSecurity>
  <Lines>216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Kreuzer</dc:creator>
  <cp:lastModifiedBy>Kreuzer</cp:lastModifiedBy>
  <cp:revision>3</cp:revision>
  <cp:lastPrinted>2023-09-28T17:59:00Z</cp:lastPrinted>
  <dcterms:created xsi:type="dcterms:W3CDTF">2023-09-29T16:48:00Z</dcterms:created>
  <dcterms:modified xsi:type="dcterms:W3CDTF">2023-09-29T16:54:00Z</dcterms:modified>
</cp:coreProperties>
</file>